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(پیش‌آگهی و مراقبت بعدی)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درمان،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نشانه‌های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نشانه‌های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نشانه‌های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ادم،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ادم،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کفایهٔ قلب با علایم عدم تحمل همودینامیک، یا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کفایهٔ چند عضو (فصل ۶۰)؛ </w:t>
      </w:r>
      <w:r>
        <w:rPr>
          <w:rFonts w:ascii="Vazirmatn" w:hAnsi="Vazirmatn"/>
          <w:b/>
        </w:rPr>
        <w:t>حوادث قلبی</w:t>
      </w:r>
      <w:r>
        <w:rPr>
          <w:rFonts w:ascii="Vazirmatn" w:hAnsi="Vazirmatn"/>
        </w:rPr>
        <w:t xml:space="preserve"> (MI، AF،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کفایهٔ گرده)؛ یا Denosumab ۱۲۰ mg SC در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کفایهٔ عضو؛ شدید =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کفایهٔ قلب،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پیامد</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p>
        </w:tc>
        <w:tc>
          <w:tcPr>
            <w:tcW w:type="dxa" w:w="1719"/>
          </w:tcPr>
          <w:p>
            <w:pPr>
              <w:bidi w:val="1"/>
            </w:pPr>
            <w:r>
              <w:rPr>
                <w:sz w:val="18"/>
              </w:rPr>
            </w:r>
            <w:r>
              <w:rPr>
                <w:rFonts w:ascii="Vazirmatn" w:hAnsi="Vazirmatn"/>
                <w:sz w:val="18"/>
              </w:rPr>
              <w:t>۲–۶ هفته</w:t>
            </w:r>
          </w:p>
        </w:tc>
        <w:tc>
          <w:tcPr>
            <w:tcW w:type="dxa" w:w="1719"/>
          </w:tcPr>
          <w:p>
            <w:pPr>
              <w:bidi w:val="1"/>
            </w:pPr>
            <w:r>
              <w:rPr>
                <w:sz w:val="18"/>
              </w:rPr>
            </w:r>
            <w:r>
              <w:rPr>
                <w:rFonts w:ascii="Vazirmatn" w:hAnsi="Vazirmatn"/>
                <w:sz w:val="18"/>
              </w:rPr>
              <w:t>۱–۶ ماه</w:t>
            </w:r>
          </w:p>
        </w:tc>
        <w:tc>
          <w:tcPr>
            <w:tcW w:type="dxa" w:w="1719"/>
          </w:tcPr>
          <w:p>
            <w:pPr>
              <w:bidi w:val="1"/>
            </w:pPr>
            <w:r>
              <w:rPr>
                <w:sz w:val="18"/>
              </w:rPr>
            </w:r>
            <w:r>
              <w:rPr>
                <w:rFonts w:ascii="Vazirmatn" w:hAnsi="Vazirmatn"/>
                <w:sz w:val="18"/>
              </w:rPr>
              <w:t>۲–۲۶ هفته</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sz w:val="18"/>
              </w:rPr>
              <w:t>۲–۸ هفته</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۲۵–۵۰٪؛ بزرگسال کمتر از ۵٪</w:t>
            </w:r>
          </w:p>
        </w:tc>
        <w:tc>
          <w:tcPr>
            <w:tcW w:type="dxa" w:w="1719"/>
          </w:tcPr>
          <w:p>
            <w:pPr>
              <w:bidi w:val="1"/>
            </w:pPr>
            <w:r>
              <w:rPr>
                <w:sz w:val="18"/>
              </w:rPr>
            </w:r>
            <w:r>
              <w:rPr>
                <w:rFonts w:ascii="Vazirmatn" w:hAnsi="Vazirmatn"/>
                <w:b/>
                <w:sz w:val="18"/>
              </w:rPr>
              <w:t>۵۵–۸۵٪</w:t>
            </w:r>
          </w:p>
        </w:tc>
        <w:tc>
          <w:tcPr>
            <w:tcW w:type="dxa" w:w="1719"/>
          </w:tcPr>
          <w:p>
            <w:pPr>
              <w:bidi w:val="1"/>
            </w:pPr>
            <w:r>
              <w:rPr>
                <w:sz w:val="18"/>
              </w:rPr>
            </w:r>
            <w:r>
              <w:rPr>
                <w:rFonts w:ascii="Vazirmatn" w:hAnsi="Vazirmatn"/>
                <w:sz w:val="18"/>
              </w:rPr>
              <w:t>Superinfection: بیش از ۹۰٪</w:t>
            </w:r>
          </w:p>
        </w:tc>
        <w:tc>
          <w:tcPr>
            <w:tcW w:type="dxa" w:w="1719"/>
          </w:tcPr>
          <w:p>
            <w:pPr>
              <w:bidi w:val="1"/>
            </w:pPr>
            <w:r>
              <w:rPr>
                <w:sz w:val="18"/>
              </w:rPr>
            </w:r>
            <w:r>
              <w:rPr>
                <w:rFonts w:ascii="Vazirmatn" w:hAnsi="Vazirmatn"/>
                <w:sz w:val="18"/>
              </w:rPr>
              <w:t xml:space="preserve">نادر (فقط در ایمونوسپرس — </w:t>
            </w:r>
            <w:r>
              <w:rPr>
                <w:rFonts w:ascii="Vazirmatn" w:hAnsi="Vazirmatn"/>
                <w:b/>
                <w:sz w:val="18"/>
              </w:rPr>
              <w:t>Genotype 3</w:t>
            </w:r>
            <w:r>
              <w:rPr>
                <w:rFonts w:ascii="Vazirmatn" w:hAnsi="Vazirmatn"/>
                <w:sz w:val="18"/>
              </w:rPr>
              <w:t>)</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 (بیشتر در سن بالا و مرض مزمن کبد)</w:t>
            </w:r>
          </w:p>
        </w:tc>
        <w:tc>
          <w:tcPr>
            <w:tcW w:type="dxa" w:w="1719"/>
          </w:tcPr>
          <w:p>
            <w:pPr>
              <w:bidi w:val="1"/>
            </w:pPr>
            <w:r>
              <w:rPr>
                <w:sz w:val="18"/>
              </w:rPr>
            </w:r>
            <w:r>
              <w:rPr>
                <w:rFonts w:ascii="Vazirmatn" w:hAnsi="Vazirmatn"/>
                <w:sz w:val="18"/>
              </w:rPr>
              <w:t>حدود ۱٪ حاد</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Co-/Superinfection ← خطر بیشتر</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تا ۲۰–۲۵٪</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چین (در افغانستان نه)</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بیش از ۹۵٪)</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Ribavirin (در ایمونوسپرس)</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دلیل کاملاً روشن نیست. نظریه‌های اصلی: </w:t>
      </w:r>
      <w:r>
        <w:rPr>
          <w:rFonts w:ascii="Vazirmatn" w:hAnsi="Vazirmatn"/>
          <w:b/>
        </w:rPr>
        <w:t>تغییرات هورمونی</w:t>
      </w:r>
      <w:r>
        <w:rPr>
          <w:rFonts w:ascii="Vazirmatn" w:hAnsi="Vazirmatn"/>
        </w:rPr>
        <w:t xml:space="preserve"> (استروجن و پروجسترون بلند) و </w:t>
      </w:r>
      <w:r>
        <w:rPr>
          <w:rFonts w:ascii="Vazirmatn" w:hAnsi="Vazirmatn"/>
          <w:b/>
        </w:rPr>
        <w:t>تغییر پاسخ ایمنی</w:t>
      </w:r>
      <w:r>
        <w:rPr>
          <w:rFonts w:ascii="Vazirmatn" w:hAnsi="Vazirmatn"/>
        </w:rPr>
        <w:t xml:space="preserve"> در حاملگی (میلان به سمت Th2) در کنار </w:t>
      </w:r>
      <w:r>
        <w:rPr>
          <w:rFonts w:ascii="Vazirmatn" w:hAnsi="Vazirmatn"/>
          <w:b/>
        </w:rPr>
        <w:t>Genotype 1</w:t>
      </w:r>
      <w:r>
        <w:rPr>
          <w:rFonts w:ascii="Vazirmatn" w:hAnsi="Vazirmatn"/>
        </w:rPr>
        <w:t xml:space="preserve"> (شایع در جنوب آسیا). نتیجه: </w:t>
      </w:r>
      <w:r>
        <w:rPr>
          <w:rFonts w:ascii="Vazirmatn" w:hAnsi="Vazirmatn"/>
          <w:b/>
        </w:rPr>
        <w:t>در سه‌ماههٔ سوم خطر ALF بسیار بلند</w:t>
      </w:r>
      <w:r>
        <w:rPr>
          <w:rFonts w:ascii="Vazirmatn" w:hAnsi="Vazirmatn"/>
        </w:rPr>
        <w:t xml:space="preserve"> است.</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w:t>
      </w:r>
      <w:r>
        <w:rPr>
          <w:rFonts w:ascii="Vazirmatn" w:hAnsi="Vazirmatn"/>
          <w:b/>
        </w:rPr>
        <w:t>بیش از ۹۰٪ مزمن</w:t>
      </w:r>
      <w:r>
        <w:rPr>
          <w:rFonts w:ascii="Vazirmatn" w:hAnsi="Vazirmatn"/>
        </w:rPr>
        <w:t xml:space="preserve"> ← </w:t>
      </w:r>
      <w:r>
        <w:rPr>
          <w:rFonts w:ascii="Vazirmatn" w:hAnsi="Vazirmatn"/>
          <w:b/>
        </w:rPr>
        <w:t>سریع‌ترین مسیر به سیروز</w:t>
      </w:r>
      <w:r>
        <w:rPr>
          <w:rFonts w:ascii="Vazirmatn" w:hAnsi="Vazirmatn"/>
        </w:rPr>
        <w:t xml:space="preserve"> (گاهی در ۵–۱۰ سال).</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بسیار بلند در استفاده‌کنندگان مواد تزریقی در افغانستان و مهاجران بازگشته از ایران)؛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 </w:t>
            </w:r>
            <w:r>
              <w:rPr>
                <w:rFonts w:ascii="Vazirmatn" w:hAnsi="Vazirmatn"/>
                <w:b/>
                <w:sz w:val="18"/>
              </w:rPr>
              <w:t>شیوع قابل توجه در منطقه</w:t>
            </w:r>
            <w:r>
              <w:rPr>
                <w:rFonts w:ascii="Vazirmatn" w:hAnsi="Vazirmatn"/>
                <w:sz w:val="18"/>
              </w:rPr>
              <w:t xml:space="preserve"> (پاکستان، ایران، آسیای میانه) — </w:t>
            </w:r>
            <w:r>
              <w:rPr>
                <w:rFonts w:ascii="Vazirmatn" w:hAnsi="Vazirmatn"/>
                <w:b/>
                <w:sz w:val="18"/>
              </w:rPr>
              <w:t>در هر HBsAg مثبت Anti-HDV بفرست</w:t>
            </w:r>
            <w:r>
              <w:rPr>
                <w:rFonts w:ascii="Vazirmatn" w:hAnsi="Vazirmatn"/>
                <w:sz w:val="18"/>
              </w:rPr>
              <w:t>.</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AST/ALT بیش از ۲ و </w:t>
      </w:r>
      <w:r>
        <w:rPr>
          <w:rFonts w:ascii="Vazirmatn" w:hAnsi="Vazirmatn"/>
          <w:b/>
        </w:rPr>
        <w:t>AST به ندرت بیش از ۴۰۰</w:t>
      </w:r>
      <w:r>
        <w:rPr>
          <w:rFonts w:ascii="Vazirmatn" w:hAnsi="Vazirmatn"/>
        </w:rPr>
        <w:t>.</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HCV RNA اگر شک بلند است — Anti-HCV در ۴–۱۲ هفتهٔ اول ممکن است منفی باشد)</w:t>
      </w:r>
    </w:p>
    <w:p>
      <w:pPr>
        <w:ind w:right="340"/>
        <w:bidi w:val="1"/>
      </w:pPr>
      <w:r>
        <w:rPr>
          <w:color w:val="136F73"/>
        </w:rPr>
        <w:t xml:space="preserve">● </w:t>
      </w:r>
      <w:r>
        <w:rPr>
          <w:rFonts w:ascii="Vazirmatn" w:hAnsi="Vazirmatn"/>
          <w:b/>
        </w:rPr>
        <w:t>IgM anti-HEV</w:t>
      </w:r>
      <w:r>
        <w:rPr>
          <w:rFonts w:ascii="Vazirmatn" w:hAnsi="Vazirmatn"/>
        </w:rPr>
        <w:t xml:space="preserve"> (+ HEV RNA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w:t>
      </w:r>
      <w:r>
        <w:rPr>
          <w:rFonts w:ascii="Vazirmatn" w:hAnsi="Vazirmatn"/>
          <w:b/>
        </w:rPr>
        <w:t>Anti-HCV مثبت با RNA منفی</w:t>
      </w:r>
      <w:r>
        <w:rPr>
          <w:rFonts w:ascii="Vazirmatn" w:hAnsi="Vazirmatn"/>
        </w:rPr>
        <w:t xml:space="preserve"> = انتان قبلی بهبودیافته یا تداوی‌شده)؛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۲</w:t>
      </w:r>
      <w:r>
        <w:rPr>
          <w:rFonts w:ascii="Vazirmatn" w:hAnsi="Vazirmatn"/>
        </w:rPr>
        <w:t xml:space="preserve"> ← سیروز محتمل</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(HBV)؛ </w:t>
      </w:r>
      <w:r>
        <w:rPr>
          <w:rFonts w:ascii="Vazirmatn" w:hAnsi="Vazirmatn"/>
          <w:b/>
        </w:rPr>
        <w:t>بیش از ۱۲.۵ kPa</w:t>
      </w:r>
      <w:r>
        <w:rPr>
          <w:rFonts w:ascii="Vazirmatn" w:hAnsi="Vazirmatn"/>
        </w:rPr>
        <w:t xml:space="preserve"> ← سیروز</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w:t>
      </w:r>
      <w:r>
        <w:rPr>
          <w:rFonts w:ascii="Vazirmatn" w:hAnsi="Vazirmatn"/>
          <w:b/>
        </w:rPr>
        <w:t>Paracetamol در دوز پایین (حد اکثر ۲ g/روز)</w:t>
      </w:r>
      <w:r>
        <w:rPr>
          <w:rFonts w:ascii="Vazirmatn" w:hAnsi="Vazirmatn"/>
        </w:rPr>
        <w:t xml:space="preserve"> قابل قبول است؛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Metoclopramide</w:t>
      </w:r>
      <w:r>
        <w:rPr>
          <w:rFonts w:ascii="Vazirmatn" w:hAnsi="Vazirmatn"/>
        </w:rPr>
        <w:t xml:space="preserve"> یا </w:t>
      </w:r>
      <w:r>
        <w:rPr>
          <w:rFonts w:ascii="Vazirmatn" w:hAnsi="Vazirmatn"/>
          <w:b/>
        </w:rPr>
        <w:t>Ondansetron</w:t>
      </w:r>
      <w:r>
        <w:rPr>
          <w:rFonts w:ascii="Vazirmatn" w:hAnsi="Vazirmatn"/>
        </w:rPr>
        <w:t xml:space="preserve"> برای تهوع (دوز معیاری، کوتاه‌مدت).</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w:t>
      </w:r>
      <w:r>
        <w:rPr>
          <w:rFonts w:ascii="Vazirmatn" w:hAnsi="Vazirmatn"/>
          <w:b/>
          <w:color w:val="0F2744"/>
        </w:rPr>
        <w:t>گلوکوز هر ۱–۲ ساعت</w:t>
      </w:r>
      <w:r>
        <w:rPr>
          <w:rFonts w:ascii="Vazirmatn" w:hAnsi="Vazirmatn"/>
          <w:color w:val="0F2744"/>
        </w:rPr>
        <w:t xml:space="preserve">، </w:t>
      </w:r>
      <w:r>
        <w:rPr>
          <w:rFonts w:ascii="Vazirmatn" w:hAnsi="Vazirmatn"/>
          <w:b/>
          <w:color w:val="0F2744"/>
        </w:rPr>
        <w:t>NAC</w:t>
      </w:r>
      <w:r>
        <w:rPr>
          <w:rFonts w:ascii="Vazirmatn" w:hAnsi="Vazirmatn"/>
          <w:color w:val="0F2744"/>
        </w:rPr>
        <w:t xml:space="preserve"> در انسفالوپاتی Grade I–II (مطابق فصل ۳۱)، و </w:t>
      </w:r>
      <w:r>
        <w:rPr>
          <w:rFonts w:ascii="Vazirmatn" w:hAnsi="Vazirmatn"/>
          <w:b/>
          <w:color w:val="0F2744"/>
        </w:rPr>
        <w:t>مشورهٔ فوری نسایی</w:t>
      </w:r>
      <w:r>
        <w:rPr>
          <w:rFonts w:ascii="Vazirmatn" w:hAnsi="Vazirmatn"/>
          <w:color w:val="0F2744"/>
        </w:rPr>
        <w:t xml:space="preserve">. در HEV شدید، تصمیم زایمان با نسایی و مطابق وضع مادر و جنین گرفته می‌شود؛ شواهد واضحی نیست که زایمان زودرس به تنهایی سیر HEV را تغییر دهد. این برخلاف </w:t>
      </w:r>
      <w:r>
        <w:rPr>
          <w:rFonts w:ascii="Vazirmatn" w:hAnsi="Vazirmatn"/>
          <w:b/>
          <w:color w:val="0F2744"/>
        </w:rPr>
        <w:t>AFLP/HELLP</w:t>
      </w:r>
      <w:r>
        <w:rPr>
          <w:rFonts w:ascii="Vazirmatn" w:hAnsi="Vazirmatn"/>
          <w:color w:val="0F2744"/>
        </w:rPr>
        <w:t xml:space="preserve"> است که در آن‌ها زایمان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b/>
        </w:rPr>
        <w:t>چرا این دواها؟</w:t>
      </w:r>
      <w:r>
        <w:rPr>
          <w:rFonts w:ascii="Vazirmatn" w:hAnsi="Vazirmatn"/>
        </w:rPr>
        <w:t xml:space="preserve"> Tenofovir و Entecavir </w:t>
      </w:r>
      <w:r>
        <w:rPr>
          <w:rFonts w:ascii="Vazirmatn" w:hAnsi="Vazirmatn"/>
          <w:b/>
        </w:rPr>
        <w:t>مانع شدید (High barrier) در برابر مقاومت</w:t>
      </w:r>
      <w:r>
        <w:rPr>
          <w:rFonts w:ascii="Vazirmatn" w:hAnsi="Vazirmatn"/>
        </w:rPr>
        <w:t xml:space="preserve"> دارند. یعنی ویروس به ندرت راهی برای دور زدن آن‌ها پیدا می‌کند. به همین دلیل </w:t>
      </w:r>
      <w:r>
        <w:rPr>
          <w:rFonts w:ascii="Vazirmatn" w:hAnsi="Vazirmatn"/>
          <w:b/>
        </w:rPr>
        <w:t>Lamivudine</w:t>
      </w:r>
      <w:r>
        <w:rPr>
          <w:rFonts w:ascii="Vazirmatn" w:hAnsi="Vazirmatn"/>
        </w:rPr>
        <w:t xml:space="preserve"> (ارزان اما با مقاومت بیش از ۷۰٪ پس از ۵ سال) دیگر خط اول نیست.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نکات</w:t>
            </w:r>
          </w:p>
        </w:tc>
      </w:tr>
      <w:tr>
        <w:tc>
          <w:tcPr>
            <w:tcW w:type="dxa" w:w="2062"/>
          </w:tcPr>
          <w:p>
            <w:pPr>
              <w:bidi w:val="1"/>
            </w:pPr>
            <w:r>
              <w:rPr>
                <w:sz w:val="18"/>
              </w:rPr>
            </w:r>
            <w:r>
              <w:rPr>
                <w:rFonts w:ascii="Vazirmatn" w:hAnsi="Vazirmatn"/>
                <w:b/>
                <w:sz w:val="18"/>
              </w:rPr>
              <w:t>Entecavir (ETV)</w:t>
            </w:r>
            <w:r>
              <w:rPr>
                <w:rFonts w:ascii="Vazirmatn" w:hAnsi="Vazirmatn"/>
                <w:sz w:val="18"/>
              </w:rPr>
              <w:t xml:space="preserve"> — </w:t>
            </w:r>
            <w:r>
              <w:rPr>
                <w:rFonts w:ascii="Vazirmatn" w:hAnsi="Vazirmatn"/>
                <w:b/>
                <w:sz w:val="18"/>
              </w:rPr>
              <w:t>خط اول WHO</w:t>
            </w:r>
          </w:p>
        </w:tc>
        <w:tc>
          <w:tcPr>
            <w:tcW w:type="dxa" w:w="2062"/>
          </w:tcPr>
          <w:p>
            <w:pPr>
              <w:bidi w:val="1"/>
            </w:pPr>
            <w:r>
              <w:rPr>
                <w:sz w:val="18"/>
              </w:rPr>
            </w:r>
            <w:r>
              <w:rPr>
                <w:rFonts w:ascii="Vazirmatn" w:hAnsi="Vazirmatn"/>
                <w:b/>
                <w:sz w:val="18"/>
              </w:rPr>
              <w:t>۰.۵ mg</w:t>
            </w:r>
            <w:r>
              <w:rPr>
                <w:rFonts w:ascii="Vazirmatn" w:hAnsi="Vazirmatn"/>
                <w:sz w:val="18"/>
              </w:rPr>
              <w:t xml:space="preserve"> (بدون تجربهٔ Lamivudine)؛ </w:t>
            </w:r>
            <w:r>
              <w:rPr>
                <w:rFonts w:ascii="Vazirmatn" w:hAnsi="Vazirmatn"/>
                <w:b/>
                <w:sz w:val="18"/>
              </w:rPr>
              <w:t>۱ mg</w:t>
            </w:r>
            <w:r>
              <w:rPr>
                <w:rFonts w:ascii="Vazirmatn" w:hAnsi="Vazirmatn"/>
                <w:sz w:val="18"/>
              </w:rPr>
              <w:t xml:space="preserve"> (مقاومت/تجربهٔ Lamivudine یا </w:t>
            </w:r>
            <w:r>
              <w:rPr>
                <w:rFonts w:ascii="Vazirmatn" w:hAnsi="Vazirmatn"/>
                <w:b/>
                <w:sz w:val="18"/>
              </w:rPr>
              <w:t>سیروز جبران‌نشده</w:t>
            </w:r>
            <w:r>
              <w:rPr>
                <w:rFonts w:ascii="Vazirmatn" w:hAnsi="Vazirmatn"/>
                <w:sz w:val="18"/>
              </w:rPr>
              <w:t>)</w:t>
            </w:r>
          </w:p>
        </w:tc>
        <w:tc>
          <w:tcPr>
            <w:tcW w:type="dxa" w:w="2062"/>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(۲ ساعت پس از غذا و ۲ ساعت پیش از غذا)</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b/>
                <w:sz w:val="18"/>
              </w:rPr>
              <w:t>ترجیح در مرض گرده یا استیوپوروز</w:t>
            </w:r>
            <w:r>
              <w:rPr>
                <w:rFonts w:ascii="Vazirmatn" w:hAnsi="Vazirmatn"/>
                <w:sz w:val="18"/>
              </w:rPr>
              <w:t xml:space="preserve">؛ تنظیم دوز در eGFR کمتر از ۵۰؛ ⚠️ </w:t>
            </w:r>
            <w:r>
              <w:rPr>
                <w:rFonts w:ascii="Vazirmatn" w:hAnsi="Vazirmatn"/>
                <w:b/>
                <w:sz w:val="18"/>
              </w:rPr>
              <w:t>در حاملگی توصیه نمی‌شود</w:t>
            </w:r>
            <w:r>
              <w:rPr>
                <w:rFonts w:ascii="Vazirmatn" w:hAnsi="Vazirmatn"/>
                <w:sz w:val="18"/>
              </w:rPr>
              <w:t xml:space="preserve"> (معلومات کم)</w:t>
            </w:r>
          </w:p>
        </w:tc>
      </w:tr>
      <w:tr>
        <w:tc>
          <w:tcPr>
            <w:tcW w:type="dxa" w:w="2062"/>
          </w:tcPr>
          <w:p>
            <w:pPr>
              <w:bidi w:val="1"/>
            </w:pPr>
            <w:r>
              <w:rPr>
                <w:sz w:val="18"/>
              </w:rPr>
            </w:r>
            <w:r>
              <w:rPr>
                <w:rFonts w:ascii="Vazirmatn" w:hAnsi="Vazirmatn"/>
                <w:b/>
                <w:sz w:val="18"/>
              </w:rPr>
              <w:t>Tenofovir alafenamide (TAF)</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فمی، روزانه، با غذا</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b/>
                <w:sz w:val="18"/>
              </w:rPr>
              <w:t>سمیت گرده و استخوان کمتر</w:t>
            </w:r>
            <w:r>
              <w:rPr>
                <w:rFonts w:ascii="Vazirmatn" w:hAnsi="Vazirmatn"/>
                <w:sz w:val="18"/>
              </w:rPr>
              <w:t xml:space="preserve"> از TDF؛ WHO: جانشین در </w:t>
            </w:r>
            <w:r>
              <w:rPr>
                <w:rFonts w:ascii="Vazirmatn" w:hAnsi="Vazirmatn"/>
                <w:b/>
                <w:sz w:val="18"/>
              </w:rPr>
              <w:t>مرض گرده/استیوپوروز و اطفال</w:t>
            </w:r>
            <w:r>
              <w:rPr>
                <w:rFonts w:ascii="Vazirmatn" w:hAnsi="Vazirmatn"/>
                <w:sz w:val="18"/>
              </w:rPr>
              <w:t>؛ گران‌تر</w:t>
            </w:r>
          </w:p>
        </w:tc>
      </w:tr>
      <w:tr>
        <w:tc>
          <w:tcPr>
            <w:tcW w:type="dxa" w:w="2062"/>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2062"/>
          </w:tcPr>
          <w:p>
            <w:pPr>
              <w:bidi w:val="1"/>
            </w:pPr>
            <w:r>
              <w:rPr>
                <w:sz w:val="18"/>
              </w:rPr>
            </w:r>
            <w:r>
              <w:rPr>
                <w:rFonts w:ascii="Vazirmatn" w:hAnsi="Vazirmatn"/>
                <w:sz w:val="18"/>
              </w:rPr>
              <w:t>ترکیب ثابت روزانه</w:t>
            </w:r>
          </w:p>
        </w:tc>
        <w:tc>
          <w:tcPr>
            <w:tcW w:type="dxa" w:w="2062"/>
          </w:tcPr>
          <w:p>
            <w:pPr>
              <w:bidi w:val="1"/>
            </w:pPr>
            <w:r>
              <w:rPr>
                <w:sz w:val="18"/>
              </w:rPr>
            </w:r>
            <w:r>
              <w:rPr>
                <w:rFonts w:ascii="Vazirmatn" w:hAnsi="Vazirmatn"/>
                <w:sz w:val="18"/>
              </w:rPr>
              <w:t>فمی</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 (مثلاً ذخایر برنامهٔ HIV)</w:t>
            </w:r>
          </w:p>
        </w:tc>
      </w:tr>
      <w:tr>
        <w:tc>
          <w:tcPr>
            <w:tcW w:type="dxa" w:w="2062"/>
          </w:tcPr>
          <w:p>
            <w:pPr>
              <w:bidi w:val="1"/>
            </w:pPr>
            <w:r>
              <w:rPr>
                <w:sz w:val="18"/>
              </w:rPr>
            </w:r>
            <w:r>
              <w:rPr>
                <w:rFonts w:ascii="Vazirmatn" w:hAnsi="Vazirmatn"/>
                <w:b/>
                <w:sz w:val="18"/>
              </w:rPr>
              <w:t>Peginterferon alfa-2a</w:t>
            </w:r>
          </w:p>
        </w:tc>
        <w:tc>
          <w:tcPr>
            <w:tcW w:type="dxa" w:w="2062"/>
          </w:tcPr>
          <w:p>
            <w:pPr>
              <w:bidi w:val="1"/>
            </w:pPr>
            <w:r>
              <w:rPr>
                <w:sz w:val="18"/>
              </w:rPr>
            </w:r>
            <w:r>
              <w:rPr>
                <w:rFonts w:ascii="Vazirmatn" w:hAnsi="Vazirmatn"/>
                <w:b/>
                <w:sz w:val="18"/>
              </w:rPr>
              <w:t>۱۸۰ mcg</w:t>
            </w:r>
          </w:p>
        </w:tc>
        <w:tc>
          <w:tcPr>
            <w:tcW w:type="dxa" w:w="2062"/>
          </w:tcPr>
          <w:p>
            <w:pPr>
              <w:bidi w:val="1"/>
            </w:pPr>
            <w:r>
              <w:rPr>
                <w:sz w:val="18"/>
              </w:rPr>
            </w:r>
            <w:r>
              <w:rPr>
                <w:rFonts w:ascii="Vazirmatn" w:hAnsi="Vazirmatn"/>
                <w:b/>
                <w:sz w:val="18"/>
              </w:rPr>
              <w:t>SC هفته‌وار</w:t>
            </w:r>
          </w:p>
        </w:tc>
        <w:tc>
          <w:tcPr>
            <w:tcW w:type="dxa" w:w="2062"/>
          </w:tcPr>
          <w:p>
            <w:pPr>
              <w:bidi w:val="1"/>
            </w:pPr>
            <w:r>
              <w:rPr>
                <w:sz w:val="18"/>
              </w:rPr>
            </w:r>
            <w:r>
              <w:rPr>
                <w:rFonts w:ascii="Vazirmatn" w:hAnsi="Vazirmatn"/>
                <w:b/>
                <w:sz w:val="18"/>
              </w:rPr>
              <w:t>۴۸ هفته</w:t>
            </w:r>
            <w:r>
              <w:rPr>
                <w:rFonts w:ascii="Vazirmatn" w:hAnsi="Vazirmatn"/>
                <w:sz w:val="18"/>
              </w:rPr>
              <w:t xml:space="preserve"> (مدت محدود)</w:t>
            </w:r>
          </w:p>
        </w:tc>
        <w:tc>
          <w:tcPr>
            <w:tcW w:type="dxa" w:w="2062"/>
          </w:tcPr>
          <w:p>
            <w:pPr>
              <w:bidi w:val="1"/>
            </w:pPr>
            <w:r>
              <w:rPr>
                <w:sz w:val="18"/>
              </w:rPr>
            </w:r>
            <w:r>
              <w:rPr>
                <w:rFonts w:ascii="Vazirmatn" w:hAnsi="Vazirmatn"/>
                <w:sz w:val="18"/>
              </w:rPr>
              <w:t xml:space="preserve">انتخابی: جوانان، HBeAg مثبت با ALT بلند، </w:t>
            </w:r>
            <w:r>
              <w:rPr>
                <w:rFonts w:ascii="Vazirmatn" w:hAnsi="Vazirmatn"/>
                <w:b/>
                <w:sz w:val="18"/>
              </w:rPr>
              <w:t>HDV</w:t>
            </w:r>
            <w:r>
              <w:rPr>
                <w:rFonts w:ascii="Vazirmatn" w:hAnsi="Vazirmatn"/>
                <w:sz w:val="18"/>
              </w:rPr>
              <w:t xml:space="preserve">؛ ⚠️ </w:t>
            </w:r>
            <w:r>
              <w:rPr>
                <w:rFonts w:ascii="Vazirmatn" w:hAnsi="Vazirmatn"/>
                <w:b/>
                <w:sz w:val="18"/>
              </w:rPr>
              <w:t>منع در سیروز جبران‌نشده</w:t>
            </w:r>
            <w:r>
              <w:rPr>
                <w:rFonts w:ascii="Vazirmatn" w:hAnsi="Vazirmatn"/>
                <w:sz w:val="18"/>
              </w:rPr>
              <w:t>، حاملگی، امراض روانی و خودایمنی؛ عوارض زیاد</w:t>
            </w:r>
          </w:p>
        </w:tc>
      </w:tr>
    </w:tbl>
    <w:p>
      <w:pPr>
        <w:bidi w:val="1"/>
      </w:pPr>
      <w:r>
        <w:rPr>
          <w:rFonts w:ascii="Vazirmatn" w:hAnsi="Vazirmatn"/>
          <w:b/>
        </w:rPr>
        <w:t>پیگیری روی تداوی:</w:t>
      </w:r>
    </w:p>
    <w:p>
      <w:pPr>
        <w:ind w:right="340"/>
        <w:bidi w:val="1"/>
      </w:pPr>
      <w:r>
        <w:rPr>
          <w:color w:val="136F73"/>
        </w:rPr>
        <w:t xml:space="preserve">● </w:t>
      </w:r>
      <w:r>
        <w:rPr>
          <w:rFonts w:ascii="Vazirmatn" w:hAnsi="Vazirmatn"/>
          <w:b/>
        </w:rPr>
        <w:t>هر ۳–۶ ماه</w:t>
      </w:r>
      <w:r>
        <w:rPr>
          <w:rFonts w:ascii="Vazirmatn" w:hAnsi="Vazirmatn"/>
        </w:rPr>
        <w:t xml:space="preserve"> در سال اول، سپس </w:t>
      </w:r>
      <w:r>
        <w:rPr>
          <w:rFonts w:ascii="Vazirmatn" w:hAnsi="Vazirmatn"/>
          <w:b/>
        </w:rPr>
        <w:t>هر ۶–۱۲ ماه</w:t>
      </w:r>
      <w:r>
        <w:rPr>
          <w:rFonts w:ascii="Vazirmatn" w:hAnsi="Vazirmatn"/>
        </w:rPr>
        <w:t xml:space="preserve">: ALT، </w:t>
      </w:r>
      <w:r>
        <w:rPr>
          <w:rFonts w:ascii="Vazirmatn" w:hAnsi="Vazirmatn"/>
          <w:b/>
        </w:rPr>
        <w:t>HBV DNA</w:t>
      </w:r>
      <w:r>
        <w:rPr>
          <w:rFonts w:ascii="Vazirmatn" w:hAnsi="Vazirmatn"/>
        </w:rPr>
        <w:t xml:space="preserve"> (هدف: </w:t>
      </w:r>
      <w:r>
        <w:rPr>
          <w:rFonts w:ascii="Vazirmatn" w:hAnsi="Vazirmatn"/>
          <w:b/>
        </w:rPr>
        <w:t>غیرقابل کشف</w:t>
      </w:r>
      <w:r>
        <w:rPr>
          <w:rFonts w:ascii="Vazirmatn" w:hAnsi="Vazirmatn"/>
        </w:rPr>
        <w:t xml:space="preserve">)، </w:t>
      </w:r>
      <w:r>
        <w:rPr>
          <w:rFonts w:ascii="Vazirmatn" w:hAnsi="Vazirmatn"/>
          <w:b/>
        </w:rPr>
        <w:t>کریاتینین و فاسفیت</w:t>
      </w:r>
      <w:r>
        <w:rPr>
          <w:rFonts w:ascii="Vazirmatn" w:hAnsi="Vazirmatn"/>
        </w:rPr>
        <w:t xml:space="preserve"> (TDF)، </w:t>
      </w:r>
      <w:r>
        <w:rPr>
          <w:rFonts w:ascii="Vazirmatn" w:hAnsi="Vazirmatn"/>
          <w:b/>
        </w:rPr>
        <w:t>پیروی از تداوی</w:t>
      </w:r>
      <w:r>
        <w:rPr>
          <w:rFonts w:ascii="Vazirmatn" w:hAnsi="Vazirmatn"/>
        </w:rPr>
        <w:t xml:space="preserve"> (مهم‌ترین علت شکست).</w:t>
      </w:r>
    </w:p>
    <w:p>
      <w:pPr>
        <w:ind w:right="340"/>
        <w:bidi w:val="1"/>
      </w:pPr>
      <w:r>
        <w:rPr>
          <w:color w:val="136F73"/>
        </w:rPr>
        <w:t xml:space="preserve">● </w:t>
      </w:r>
      <w:r>
        <w:rPr>
          <w:rFonts w:ascii="Vazirmatn" w:hAnsi="Vazirmatn"/>
          <w:b/>
        </w:rPr>
        <w:t>HCC:</w:t>
      </w:r>
      <w:r>
        <w:rPr>
          <w:rFonts w:ascii="Vazirmatn" w:hAnsi="Vazirmatn"/>
        </w:rPr>
        <w:t xml:space="preserve"> </w:t>
      </w:r>
      <w:r>
        <w:rPr>
          <w:rFonts w:ascii="Vazirmatn" w:hAnsi="Vazirmatn"/>
          <w:b/>
        </w:rPr>
        <w:t>سونوگرافی ± AFP هر ۶ ماه</w:t>
      </w:r>
      <w:r>
        <w:rPr>
          <w:rFonts w:ascii="Vazirmatn" w:hAnsi="Vazirmatn"/>
        </w:rPr>
        <w:t xml:space="preserve"> در سیروز، سابقهٔ فامیلی HCC، و گروه‌های پرخطر (مثلاً مردان آسیایی بیش از ۴۰ سال — AASLD). ♻️ </w:t>
      </w:r>
      <w:r>
        <w:rPr>
          <w:rFonts w:ascii="Vazirmatn" w:hAnsi="Vazirmatn"/>
          <w:b/>
        </w:rPr>
        <w:t>«HCC هر ۶ ماه» — همان عادت فصل ۳۰.</w:t>
      </w:r>
      <w:r>
        <w:rPr>
          <w:rFonts w:ascii="Vazirmatn" w:hAnsi="Vazirmatn"/>
        </w:rPr>
        <w:t xml:space="preserve"> در HBV </w:t>
      </w:r>
      <w:r>
        <w:rPr>
          <w:rFonts w:ascii="Vazirmatn" w:hAnsi="Vazirmatn"/>
          <w:b/>
        </w:rPr>
        <w:t>حتی بدون سیروز</w:t>
      </w:r>
      <w:r>
        <w:rPr>
          <w:rFonts w:ascii="Vazirmatn" w:hAnsi="Vazirmatn"/>
        </w:rPr>
        <w:t xml:space="preserve"> لازم است، </w:t>
      </w:r>
      <w:r>
        <w:rPr>
          <w:rFonts w:ascii="Vazirmatn" w:hAnsi="Vazirmatn"/>
          <w:b/>
        </w:rPr>
        <w:t>چون</w:t>
      </w:r>
      <w:r>
        <w:rPr>
          <w:rFonts w:ascii="Vazirmatn" w:hAnsi="Vazirmatn"/>
        </w:rPr>
        <w:t xml:space="preserve"> DNA ویروس در DNA میزبان جا گرفته است.</w:t>
      </w:r>
    </w:p>
    <w:p>
      <w:pPr>
        <w:ind w:right="340"/>
        <w:bidi w:val="1"/>
      </w:pPr>
      <w:r>
        <w:rPr>
          <w:color w:val="136F73"/>
        </w:rPr>
        <w:t xml:space="preserve">● </w:t>
      </w:r>
      <w:r>
        <w:rPr>
          <w:rFonts w:ascii="Vazirmatn" w:hAnsi="Vazirmatn"/>
          <w:b/>
        </w:rPr>
        <w:t>قطع تداوی:</w:t>
      </w:r>
      <w:r>
        <w:rPr>
          <w:rFonts w:ascii="Vazirmatn" w:hAnsi="Vazirmatn"/>
        </w:rPr>
        <w:t xml:space="preserve"> ⚠️ </w:t>
      </w:r>
      <w:r>
        <w:rPr>
          <w:rFonts w:ascii="Vazirmatn" w:hAnsi="Vazirmatn"/>
          <w:b/>
        </w:rPr>
        <w:t>در سیروز هرگز</w:t>
      </w:r>
      <w:r>
        <w:rPr>
          <w:rFonts w:ascii="Vazirmatn" w:hAnsi="Vazirmatn"/>
        </w:rPr>
        <w:t xml:space="preserve"> (Flare کشنده). در غیرسیروزی فقط پس از </w:t>
      </w:r>
      <w:r>
        <w:rPr>
          <w:rFonts w:ascii="Vazirmatn" w:hAnsi="Vazirmatn"/>
          <w:b/>
        </w:rPr>
        <w:t>از بین رفتن HBsAg</w:t>
      </w:r>
      <w:r>
        <w:rPr>
          <w:rFonts w:ascii="Vazirmatn" w:hAnsi="Vazirmatn"/>
        </w:rPr>
        <w:t xml:space="preserve"> (نادر، حدود ۱٪ در سال) یا تحت نظر متخصص با پیگیری نزدیک.</w:t>
      </w:r>
    </w:p>
    <w:p>
      <w:pPr>
        <w:spacing w:before="160"/>
        <w:bidi w:val="1"/>
      </w:pPr>
      <w:r>
        <w:rPr>
          <w:rFonts w:ascii="Vazirmatn" w:hAnsi="Vazirmatn"/>
          <w:b/>
          <w:sz w:val="23"/>
        </w:rPr>
        <w:t>۲. HBV حاد</w:t>
      </w:r>
    </w:p>
    <w:p>
      <w:pPr>
        <w:ind w:right="340"/>
        <w:bidi w:val="1"/>
      </w:pPr>
      <w:r>
        <w:rPr>
          <w:color w:val="136F73"/>
        </w:rPr>
        <w:t xml:space="preserve">● </w:t>
      </w:r>
      <w:r>
        <w:rPr>
          <w:rFonts w:ascii="Vazirmatn" w:hAnsi="Vazirmatn"/>
          <w:b/>
        </w:rPr>
        <w:t>خفیف/متوسط:</w:t>
      </w:r>
      <w:r>
        <w:rPr>
          <w:rFonts w:ascii="Vazirmatn" w:hAnsi="Vazirmatn"/>
        </w:rPr>
        <w:t xml:space="preserve"> </w:t>
      </w:r>
      <w:r>
        <w:rPr>
          <w:rFonts w:ascii="Vazirmatn" w:hAnsi="Vazirmatn"/>
          <w:b/>
        </w:rPr>
        <w:t>فقط حمایوی</w:t>
      </w:r>
      <w:r>
        <w:rPr>
          <w:rFonts w:ascii="Vazirmatn" w:hAnsi="Vazirmatn"/>
        </w:rPr>
        <w:t xml:space="preserve"> (بیش از ۹۵٪ بزرگسالان خودبه‌خود پاک می‌شوند).</w:t>
      </w:r>
    </w:p>
    <w:p>
      <w:pPr>
        <w:ind w:right="340"/>
        <w:bidi w:val="1"/>
      </w:pPr>
      <w:r>
        <w:rPr>
          <w:color w:val="136F73"/>
        </w:rPr>
        <w:t xml:space="preserve">● </w:t>
      </w:r>
      <w:r>
        <w:rPr>
          <w:rFonts w:ascii="Vazirmatn" w:hAnsi="Vazirmatn"/>
          <w:b/>
        </w:rPr>
        <w:t>شدید</w:t>
      </w:r>
      <w:r>
        <w:rPr>
          <w:rFonts w:ascii="Vazirmatn" w:hAnsi="Vazirmatn"/>
        </w:rPr>
        <w:t xml:space="preserve"> (</w:t>
      </w:r>
      <w:r>
        <w:rPr>
          <w:rFonts w:ascii="Vazirmatn" w:hAnsi="Vazirmatn"/>
          <w:b/>
        </w:rPr>
        <w:t>INR بیش از ۱.۵</w:t>
      </w:r>
      <w:r>
        <w:rPr>
          <w:rFonts w:ascii="Vazirmatn" w:hAnsi="Vazirmatn"/>
        </w:rPr>
        <w:t xml:space="preserve">، </w:t>
      </w:r>
      <w:r>
        <w:rPr>
          <w:rFonts w:ascii="Vazirmatn" w:hAnsi="Vazirmatn"/>
          <w:b/>
        </w:rPr>
        <w:t>یرقان دوامدار بیش از ۴ هفته</w:t>
      </w:r>
      <w:r>
        <w:rPr>
          <w:rFonts w:ascii="Vazirmatn" w:hAnsi="Vazirmatn"/>
        </w:rPr>
        <w:t xml:space="preserve">) یا </w:t>
      </w:r>
      <w:r>
        <w:rPr>
          <w:rFonts w:ascii="Vazirmatn" w:hAnsi="Vazirmatn"/>
          <w:b/>
        </w:rPr>
        <w:t>ALF:</w:t>
      </w:r>
      <w:r>
        <w:rPr>
          <w:rFonts w:ascii="Vazirmatn" w:hAnsi="Vazirmatn"/>
        </w:rPr>
        <w:t xml:space="preserve"> </w:t>
      </w:r>
      <w:r>
        <w:rPr>
          <w:rFonts w:ascii="Vazirmatn" w:hAnsi="Vazirmatn"/>
          <w:b/>
        </w:rPr>
        <w:t>Entecavir ۰.۵ mg</w:t>
      </w:r>
      <w:r>
        <w:rPr>
          <w:rFonts w:ascii="Vazirmatn" w:hAnsi="Vazirmatn"/>
        </w:rPr>
        <w:t xml:space="preserve"> یا </w:t>
      </w:r>
      <w:r>
        <w:rPr>
          <w:rFonts w:ascii="Vazirmatn" w:hAnsi="Vazirmatn"/>
          <w:b/>
        </w:rPr>
        <w:t>Tenofovir ۳۰۰ mg فمی روزانه</w:t>
      </w:r>
      <w:r>
        <w:rPr>
          <w:rFonts w:ascii="Vazirmatn" w:hAnsi="Vazirmatn"/>
        </w:rPr>
        <w:t xml:space="preserve"> تا </w:t>
      </w:r>
      <w:r>
        <w:rPr>
          <w:rFonts w:ascii="Vazirmatn" w:hAnsi="Vazirmatn"/>
          <w:b/>
        </w:rPr>
        <w:t>پاک شدن HBsAg</w:t>
      </w:r>
      <w:r>
        <w:rPr>
          <w:rFonts w:ascii="Vazirmatn" w:hAnsi="Vazirmatn"/>
        </w:rPr>
        <w:t xml:space="preserve"> (AASLD/EASL)؛ ALF ← فصل ۳۱ + مرکز پیوند.</w:t>
      </w:r>
    </w:p>
    <w:p>
      <w:pPr>
        <w:spacing w:before="160"/>
        <w:bidi w:val="1"/>
      </w:pPr>
      <w:r>
        <w:rPr>
          <w:rFonts w:ascii="Vazirmatn" w:hAnsi="Vazirmatn"/>
          <w:b/>
          <w:sz w:val="23"/>
        </w:rPr>
        <w:t>۳. پیشگیری از فعال شدن دوبارهٔ HBV (Reactivation) — قاعده‌ای که جان نجات می‌دهد</w:t>
      </w:r>
    </w:p>
    <w:p>
      <w:pPr>
        <w:bidi w:val="1"/>
      </w:pPr>
      <w:r>
        <w:rPr>
          <w:rFonts w:ascii="Vazirmatn" w:hAnsi="Vazirmatn"/>
          <w:b/>
        </w:rPr>
        <w:t>تمثیل خانه را یاد کن:</w:t>
      </w:r>
      <w:r>
        <w:rPr>
          <w:rFonts w:ascii="Vazirmatn" w:hAnsi="Vazirmatn"/>
        </w:rPr>
        <w:t xml:space="preserve">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دوز بلند یا Anti-TNF</w:t>
      </w:r>
      <w:r>
        <w:rPr>
          <w:rFonts w:ascii="Vazirmatn" w:hAnsi="Vazirmatn"/>
        </w:rPr>
        <w:t xml:space="preserve"> پولیس را خلع سلاح کنی، مستأجر دوباره بیرون می‌آید و گاهی سبب </w:t>
      </w:r>
      <w:r>
        <w:rPr>
          <w:rFonts w:ascii="Vazirmatn" w:hAnsi="Vazirmatn"/>
          <w:b/>
        </w:rPr>
        <w:t>ALF کشنده</w:t>
      </w:r>
      <w:r>
        <w:rPr>
          <w:rFonts w:ascii="Vazirmatn" w:hAnsi="Vazirmatn"/>
        </w:rPr>
        <w:t xml:space="preserve"> می‌شود.</w:t>
      </w:r>
    </w:p>
    <w:p>
      <w:pPr>
        <w:bidi w:val="1"/>
      </w:pPr>
      <w:r>
        <w:rPr>
          <w:rFonts w:ascii="Vazirmatn" w:hAnsi="Vazirmatn"/>
        </w:rPr>
        <w:t xml:space="preserve">🎯 </w:t>
      </w:r>
      <w:r>
        <w:rPr>
          <w:rFonts w:ascii="Vazirmatn" w:hAnsi="Vazirmatn"/>
          <w:b/>
        </w:rPr>
        <w:t>قاعدهٔ عادت:</w:t>
      </w:r>
      <w:r>
        <w:rPr>
          <w:rFonts w:ascii="Vazirmatn" w:hAnsi="Vazirmatn"/>
        </w:rPr>
        <w:t xml:space="preserve"> پیش از هر </w:t>
      </w:r>
      <w:r>
        <w:rPr>
          <w:rFonts w:ascii="Vazirmatn" w:hAnsi="Vazirmatn"/>
          <w:b/>
        </w:rPr>
        <w:t>کیموتراپی، Rituximab، Anti-TNF، ستیروئید طولانی‌مدت، یا پیوند</w:t>
      </w:r>
      <w:r>
        <w:rPr>
          <w:rFonts w:ascii="Vazirmatn" w:hAnsi="Vazirmatn"/>
        </w:rPr>
        <w:t xml:space="preserve"> ← </w:t>
      </w:r>
      <w:r>
        <w:rPr>
          <w:rFonts w:ascii="Vazirmatn" w:hAnsi="Vazirmatn"/>
          <w:b/>
        </w:rPr>
        <w:t>HBsAg + Anti-HBc (+ Anti-HCV)</w:t>
      </w:r>
      <w:r>
        <w:rPr>
          <w:rFonts w:ascii="Vazirmatn" w:hAnsi="Vazirmatn"/>
        </w:rPr>
        <w:t xml:space="preserve"> بفرست.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HBsAg −، Anti-HBc +</w:t>
            </w:r>
            <w:r>
              <w:rPr>
                <w:rFonts w:ascii="Vazirmatn" w:hAnsi="Vazirmatn"/>
                <w:sz w:val="18"/>
              </w:rPr>
              <w:t xml:space="preserve"> با </w:t>
            </w:r>
            <w:r>
              <w:rPr>
                <w:rFonts w:ascii="Vazirmatn" w:hAnsi="Vazirmatn"/>
                <w:b/>
                <w:sz w:val="18"/>
              </w:rPr>
              <w:t>Rituximab/Anti-CD20</w:t>
            </w:r>
            <w:r>
              <w:rPr>
                <w:rFonts w:ascii="Vazirmatn" w:hAnsi="Vazirmatn"/>
                <w:sz w:val="18"/>
              </w:rPr>
              <w:t xml:space="preserve"> یا </w:t>
            </w:r>
            <w:r>
              <w:rPr>
                <w:rFonts w:ascii="Vazirmatn" w:hAnsi="Vazirmatn"/>
                <w:b/>
                <w:sz w:val="18"/>
              </w:rPr>
              <w:t>پیوند مغز استخوان</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b/>
                <w:sz w:val="18"/>
              </w:rPr>
              <w:t>پیشگیری</w:t>
            </w:r>
            <w:r>
              <w:rPr>
                <w:rFonts w:ascii="Vazirmatn" w:hAnsi="Vazirmatn"/>
                <w:sz w:val="18"/>
              </w:rPr>
              <w:t xml:space="preserve"> (مانند بالا)</w:t>
            </w:r>
          </w:p>
        </w:tc>
      </w:tr>
      <w:tr>
        <w:tc>
          <w:tcPr>
            <w:tcW w:type="dxa" w:w="3437"/>
          </w:tcPr>
          <w:p>
            <w:pPr>
              <w:bidi w:val="1"/>
            </w:pPr>
            <w:r>
              <w:rPr>
                <w:sz w:val="18"/>
              </w:rPr>
            </w:r>
            <w:r>
              <w:rPr>
                <w:rFonts w:ascii="Vazirmatn" w:hAnsi="Vazirmatn"/>
                <w:b/>
                <w:sz w:val="18"/>
              </w:rPr>
              <w:t>HBsAg −، Anti-HBc +</w:t>
            </w:r>
            <w:r>
              <w:rPr>
                <w:rFonts w:ascii="Vazirmatn" w:hAnsi="Vazirmatn"/>
                <w:sz w:val="18"/>
              </w:rPr>
              <w:t xml:space="preserve"> با دواهای با خطر کمتر</w:t>
            </w:r>
          </w:p>
        </w:tc>
        <w:tc>
          <w:tcPr>
            <w:tcW w:type="dxa" w:w="3437"/>
          </w:tcPr>
          <w:p>
            <w:pPr>
              <w:bidi w:val="1"/>
            </w:pPr>
            <w:r>
              <w:rPr>
                <w:sz w:val="18"/>
              </w:rPr>
            </w:r>
            <w:r>
              <w:rPr>
                <w:rFonts w:ascii="Vazirmatn" w:hAnsi="Vazirmatn"/>
                <w:sz w:val="18"/>
              </w:rPr>
              <w:t>پایین/متوسط</w:t>
            </w:r>
          </w:p>
        </w:tc>
        <w:tc>
          <w:tcPr>
            <w:tcW w:type="dxa" w:w="3437"/>
          </w:tcPr>
          <w:p>
            <w:pPr>
              <w:bidi w:val="1"/>
            </w:pPr>
            <w:r>
              <w:rPr>
                <w:sz w:val="18"/>
              </w:rPr>
            </w:r>
            <w:r>
              <w:rPr>
                <w:rFonts w:ascii="Vazirmatn" w:hAnsi="Vazirmatn"/>
                <w:b/>
                <w:sz w:val="18"/>
              </w:rPr>
              <w:t>نظارت ALT و HBV DNA هر ۱–۳ ماه</w:t>
            </w:r>
            <w:r>
              <w:rPr>
                <w:rFonts w:ascii="Vazirmatn" w:hAnsi="Vazirmatn"/>
                <w:sz w:val="18"/>
              </w:rPr>
              <w:t xml:space="preserve"> یا پیشگیری</w:t>
            </w:r>
          </w:p>
        </w:tc>
      </w:tr>
    </w:tbl>
    <w:p>
      <w:pPr>
        <w:bidi w:val="1"/>
      </w:pPr>
      <w:r>
        <w:rPr>
          <w:rFonts w:ascii="Vazirmatn" w:hAnsi="Vazirmatn"/>
        </w:rPr>
        <w:t>(مطابق AGA/AASLD/EASL — مدت دقیق در منابع مختلف کمی متفاوت است.)</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زیرا </w:t>
      </w:r>
      <w:r>
        <w:rPr>
          <w:rFonts w:ascii="Vazirmatn" w:hAnsi="Vazirmatn"/>
          <w:b/>
        </w:rPr>
        <w:t>بیش از ۹۰٪ نوزادانی که انتان می‌گیرند مزمن می‌شوند</w:t>
      </w:r>
      <w:r>
        <w:rPr>
          <w:rFonts w:ascii="Vazirmatn" w:hAnsi="Vazirmatn"/>
        </w:rPr>
        <w:t xml:space="preserve"> (بخش ۲). یک مداخلهٔ ارزان در همان چند ساعت اول تولد از انتان مادام‌العمر جلوگیری می‌کند.</w:t>
      </w:r>
    </w:p>
    <w:p>
      <w:pPr>
        <w:ind w:right="340"/>
        <w:bidi w:val="1"/>
      </w:pPr>
      <w:r>
        <w:rPr>
          <w:b/>
          <w:color w:val="136F73"/>
        </w:rPr>
        <w:t xml:space="preserve">1. </w:t>
      </w:r>
      <w:r>
        <w:rPr>
          <w:rFonts w:ascii="Vazirmatn" w:hAnsi="Vazirmatn"/>
          <w:b/>
        </w:rPr>
        <w:t>هر حامله را برای HBsAg (و HIV و سفلیس) غربال کن</w:t>
      </w:r>
      <w:r>
        <w:rPr>
          <w:rFonts w:ascii="Vazirmatn" w:hAnsi="Vazirmatn"/>
        </w:rPr>
        <w:t xml:space="preserve"> (WHO).</w:t>
      </w:r>
    </w:p>
    <w:p>
      <w:pPr>
        <w:ind w:right="340"/>
        <w:bidi w:val="1"/>
      </w:pPr>
      <w:r>
        <w:rPr>
          <w:b/>
          <w:color w:val="136F73"/>
        </w:rPr>
        <w:t xml:space="preserve">2. </w:t>
      </w:r>
      <w:r>
        <w:rPr>
          <w:rFonts w:ascii="Vazirmatn" w:hAnsi="Vazirmatn"/>
          <w:b/>
        </w:rPr>
        <w:t>Tenofovir (TDF) ۳۰۰ mg فمی روزانه</w:t>
      </w:r>
      <w:r>
        <w:rPr>
          <w:rFonts w:ascii="Vazirmatn" w:hAnsi="Vazirmatn"/>
        </w:rPr>
        <w:t xml:space="preserve"> برای مادر:</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p>
    <w:p>
      <w:pPr>
        <w:ind w:right="340"/>
        <w:bidi w:val="1"/>
      </w:pPr>
      <w:r>
        <w:rPr>
          <w:color w:val="136F73"/>
        </w:rPr>
        <w:t xml:space="preserve">● </w:t>
      </w:r>
      <w:r>
        <w:rPr>
          <w:rFonts w:ascii="Vazirmatn" w:hAnsi="Vazirmatn"/>
        </w:rPr>
        <w:t xml:space="preserve">از </w:t>
      </w:r>
      <w:r>
        <w:rPr>
          <w:rFonts w:ascii="Vazirmatn" w:hAnsi="Vazirmatn"/>
          <w:b/>
        </w:rPr>
        <w:t>هفتهٔ ۲۴–۲۸ حاملگی</w:t>
      </w:r>
      <w:r>
        <w:rPr>
          <w:rFonts w:ascii="Vazirmatn" w:hAnsi="Vazirmatn"/>
        </w:rPr>
        <w:t xml:space="preserve"> (حد اقل از سه‌ماههٔ سوم)</w:t>
      </w:r>
    </w:p>
    <w:p>
      <w:pPr>
        <w:ind w:right="340"/>
        <w:bidi w:val="1"/>
      </w:pPr>
      <w:r>
        <w:rPr>
          <w:color w:val="136F73"/>
        </w:rPr>
        <w:t xml:space="preserve">● </w:t>
      </w:r>
      <w:r>
        <w:rPr>
          <w:rFonts w:ascii="Vazirmatn" w:hAnsi="Vazirmatn"/>
        </w:rPr>
        <w:t xml:space="preserve">تا </w:t>
      </w:r>
      <w:r>
        <w:rPr>
          <w:rFonts w:ascii="Vazirmatn" w:hAnsi="Vazirmatn"/>
          <w:b/>
        </w:rPr>
        <w:t>حد اقل تولد</w:t>
      </w:r>
      <w:r>
        <w:rPr>
          <w:rFonts w:ascii="Vazirmatn" w:hAnsi="Vazirmatn"/>
        </w:rPr>
        <w:t xml:space="preserve"> (معمولاً </w:t>
      </w:r>
      <w:r>
        <w:rPr>
          <w:rFonts w:ascii="Vazirmatn" w:hAnsi="Vazirmatn"/>
          <w:b/>
        </w:rPr>
        <w:t>تا ۱۲ هفته پس از زایمان</w:t>
      </w:r>
      <w:r>
        <w:rPr>
          <w:rFonts w:ascii="Vazirmatn" w:hAnsi="Vazirmatn"/>
        </w:rPr>
        <w:t>) — مگر اینکه مادر خودش مستحق تداوی دوامدار باشد</w:t>
      </w:r>
    </w:p>
    <w:p>
      <w:pPr>
        <w:ind w:right="340"/>
        <w:bidi w:val="1"/>
      </w:pPr>
      <w:r>
        <w:rPr>
          <w:color w:val="136F73"/>
        </w:rPr>
        <w:t xml:space="preserve">● </w:t>
      </w:r>
      <w:r>
        <w:rPr>
          <w:rFonts w:ascii="Vazirmatn" w:hAnsi="Vazirmatn"/>
          <w:b/>
        </w:rPr>
        <w:t>WHO 2024:</w:t>
      </w:r>
      <w:r>
        <w:rPr>
          <w:rFonts w:ascii="Vazirmatn" w:hAnsi="Vazirmatn"/>
        </w:rPr>
        <w:t xml:space="preserve"> در جایی که HBV DNA و HBeAg در دسترس نیست، </w:t>
      </w:r>
      <w:r>
        <w:rPr>
          <w:rFonts w:ascii="Vazirmatn" w:hAnsi="Vazirmatn"/>
          <w:b/>
        </w:rPr>
        <w:t>پیشگیری Tenofovir برای همهٔ حامله‌های HBsAg مثبت</w:t>
      </w:r>
      <w:r>
        <w:rPr>
          <w:rFonts w:ascii="Vazirmatn" w:hAnsi="Vazirmatn"/>
        </w:rPr>
        <w:t xml:space="preserve"> در نظر گرفته شود.</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 در ۲۴ ساعت اول</w:t>
      </w:r>
      <w:r>
        <w:rPr>
          <w:rFonts w:ascii="Vazirmatn" w:hAnsi="Vazirmatn"/>
        </w:rPr>
        <w:t xml:space="preserve"> (بهتر است در چند ساعت اول) — </w:t>
      </w:r>
      <w:r>
        <w:rPr>
          <w:rFonts w:ascii="Vazirmatn" w:hAnsi="Vazirmatn"/>
          <w:b/>
        </w:rPr>
        <w:t>برای همهٔ نوزادان، نه فقط نوزادان مادران مثبت</w:t>
      </w:r>
    </w:p>
    <w:p>
      <w:pPr>
        <w:ind w:right="340"/>
        <w:bidi w:val="1"/>
      </w:pPr>
      <w:r>
        <w:rPr>
          <w:color w:val="136F73"/>
        </w:rPr>
        <w:t xml:space="preserve">● </w:t>
      </w:r>
      <w:r>
        <w:rPr>
          <w:rFonts w:ascii="Vazirmatn" w:hAnsi="Vazirmatn"/>
          <w:b/>
        </w:rPr>
        <w:t>+ HBIG (Hepatitis B immunoglobulin)</w:t>
      </w:r>
      <w:r>
        <w:rPr>
          <w:rFonts w:ascii="Vazirmatn" w:hAnsi="Vazirmatn"/>
        </w:rPr>
        <w:t xml:space="preserve"> — </w:t>
      </w:r>
      <w:r>
        <w:rPr>
          <w:rFonts w:ascii="Vazirmatn" w:hAnsi="Vazirmatn"/>
          <w:b/>
        </w:rPr>
        <w:t>۰.۵ ml IM</w:t>
      </w:r>
      <w:r>
        <w:rPr>
          <w:rFonts w:ascii="Vazirmatn" w:hAnsi="Vazirmatn"/>
        </w:rPr>
        <w:t xml:space="preserve"> در </w:t>
      </w:r>
      <w:r>
        <w:rPr>
          <w:rFonts w:ascii="Vazirmatn" w:hAnsi="Vazirmatn"/>
          <w:b/>
        </w:rPr>
        <w:t>۱۲ ساعت اول</w:t>
      </w:r>
      <w:r>
        <w:rPr>
          <w:rFonts w:ascii="Vazirmatn" w:hAnsi="Vazirmatn"/>
        </w:rPr>
        <w:t xml:space="preserve"> برای نوزاد مادر HBsAg مثبت (در صورت دسترسی)</w:t>
      </w:r>
    </w:p>
    <w:p>
      <w:pPr>
        <w:ind w:right="340"/>
        <w:bidi w:val="1"/>
      </w:pPr>
      <w:r>
        <w:rPr>
          <w:color w:val="136F73"/>
        </w:rPr>
        <w:t xml:space="preserve">● </w:t>
      </w:r>
      <w:r>
        <w:rPr>
          <w:rFonts w:ascii="Vazirmatn" w:hAnsi="Vazirmatn"/>
        </w:rPr>
        <w:t>سپس تکمیل برنامهٔ واکسین (EPI)</w:t>
      </w:r>
    </w:p>
    <w:p>
      <w:pPr>
        <w:ind w:right="340"/>
        <w:bidi w:val="1"/>
      </w:pPr>
      <w:r>
        <w:rPr>
          <w:b/>
          <w:color w:val="136F73"/>
        </w:rPr>
        <w:t xml:space="preserve">4. </w:t>
      </w:r>
      <w:r>
        <w:rPr>
          <w:rFonts w:ascii="Vazirmatn" w:hAnsi="Vazirmatn"/>
          <w:b/>
        </w:rPr>
        <w:t>شیر مادر ممنوع نیست</w:t>
      </w:r>
      <w:r>
        <w:rPr>
          <w:rFonts w:ascii="Vazirmatn" w:hAnsi="Vazirmatn"/>
        </w:rPr>
        <w:t xml:space="preserve"> (حتی روی Tenofovir). </w:t>
      </w:r>
      <w:r>
        <w:rPr>
          <w:rFonts w:ascii="Vazirmatn" w:hAnsi="Vazirmatn"/>
          <w:b/>
        </w:rPr>
        <w:t>زایمان سزارین برای پیشگیری از HBV لازم نیست.</w:t>
      </w:r>
    </w:p>
    <w:p>
      <w:pPr>
        <w:ind w:right="340"/>
        <w:bidi w:val="1"/>
      </w:pPr>
      <w:r>
        <w:rPr>
          <w:b/>
          <w:color w:val="136F73"/>
        </w:rPr>
        <w:t xml:space="preserve">5. </w:t>
      </w:r>
      <w:r>
        <w:rPr>
          <w:rFonts w:ascii="Vazirmatn" w:hAnsi="Vazirmatn"/>
          <w:b/>
        </w:rPr>
        <w:t>تست نوزاد (HBsAg و Anti-HBs) در ۹–۱۲ ماهگی.</w:t>
      </w:r>
    </w:p>
    <w:p>
      <w:pPr>
        <w:spacing w:before="160"/>
        <w:bidi w:val="1"/>
      </w:pPr>
      <w:r>
        <w:rPr>
          <w:rFonts w:ascii="Vazirmatn" w:hAnsi="Vazirmatn"/>
          <w:b/>
          <w:sz w:val="23"/>
        </w:rPr>
        <w:t>۵. HCV — «۸ تا ۱۲ هفته برای همیشه»</w:t>
      </w:r>
    </w:p>
    <w:p>
      <w:pPr>
        <w:bidi w:val="1"/>
      </w:pPr>
      <w:r>
        <w:rPr>
          <w:rFonts w:ascii="Vazirmatn" w:hAnsi="Vazirmatn"/>
          <w:b/>
        </w:rPr>
        <w:t>چرا همه را تداوی می‌کنیم؟</w:t>
      </w:r>
      <w:r>
        <w:rPr>
          <w:rFonts w:ascii="Vazirmatn" w:hAnsi="Vazirmatn"/>
        </w:rPr>
        <w:t xml:space="preserve"> WHO از سال ۲۰۱۸ توصیه می‌کند </w:t>
      </w:r>
      <w:r>
        <w:rPr>
          <w:rFonts w:ascii="Vazirmatn" w:hAnsi="Vazirmatn"/>
          <w:b/>
        </w:rPr>
        <w:t>همهٔ مریضان HCV مزمن ۱۲ ساله و بیشتر</w:t>
      </w:r>
      <w:r>
        <w:rPr>
          <w:rFonts w:ascii="Vazirmatn" w:hAnsi="Vazirmatn"/>
        </w:rPr>
        <w:t xml:space="preserve"> بدون توجه به مرحلهٔ فایبروز تداوی شوند. </w:t>
      </w:r>
      <w:r>
        <w:rPr>
          <w:rFonts w:ascii="Vazirmatn" w:hAnsi="Vazirmatn"/>
          <w:b/>
        </w:rPr>
        <w:t>چون</w:t>
      </w:r>
      <w:r>
        <w:rPr>
          <w:rFonts w:ascii="Vazirmatn" w:hAnsi="Vazirmatn"/>
        </w:rPr>
        <w:t xml:space="preserve"> دواها </w:t>
      </w:r>
      <w:r>
        <w:rPr>
          <w:rFonts w:ascii="Vazirmatn" w:hAnsi="Vazirmatn"/>
          <w:b/>
        </w:rPr>
        <w:t>بیش از ۹۵٪ شفا</w:t>
      </w:r>
      <w:r>
        <w:rPr>
          <w:rFonts w:ascii="Vazirmatn" w:hAnsi="Vazirmatn"/>
        </w:rPr>
        <w:t xml:space="preserve"> می‌دهند، </w:t>
      </w:r>
      <w:r>
        <w:rPr>
          <w:rFonts w:ascii="Vazirmatn" w:hAnsi="Vazirmatn"/>
          <w:b/>
        </w:rPr>
        <w:t>کم‌عارضه‌اند</w:t>
      </w:r>
      <w:r>
        <w:rPr>
          <w:rFonts w:ascii="Vazirmatn" w:hAnsi="Vazirmatn"/>
        </w:rPr>
        <w:t xml:space="preserve">، </w:t>
      </w:r>
      <w:r>
        <w:rPr>
          <w:rFonts w:ascii="Vazirmatn" w:hAnsi="Vazirmatn"/>
          <w:b/>
        </w:rPr>
        <w:t>Pangenotypic</w:t>
      </w:r>
      <w:r>
        <w:rPr>
          <w:rFonts w:ascii="Vazirmatn" w:hAnsi="Vazirmatn"/>
        </w:rPr>
        <w:t xml:space="preserve"> هستند و قیمت نسخه‌های جنریک آن‌ها بسیار پایین آمده است. </w:t>
      </w:r>
      <w:r>
        <w:rPr>
          <w:rFonts w:ascii="Vazirmatn" w:hAnsi="Vazirmatn"/>
          <w:b/>
        </w:rPr>
        <w:t>هر مریض شفایافته یک منبع انتقال کمتر است.</w:t>
      </w:r>
    </w:p>
    <w:p>
      <w:pPr>
        <w:bidi w:val="1"/>
      </w:pPr>
      <w:r>
        <w:rPr>
          <w:rFonts w:ascii="Vazirmatn" w:hAnsi="Vazirmatn"/>
          <w:b/>
        </w:rPr>
        <w:t>رژیم‌های Pangenotypic (WHO)</w:t>
      </w:r>
      <w:r>
        <w:rPr>
          <w:rFonts w:ascii="Vazirmatn" w:hAnsi="Vazirmatn"/>
        </w:rPr>
        <w:t xml:space="preserve"> — بدون نیاز به Genotype: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بدون سیروز</w:t>
            </w:r>
          </w:p>
        </w:tc>
        <w:tc>
          <w:tcPr>
            <w:tcW w:type="dxa" w:w="2578"/>
            <w:shd w:val="clear" w:fill="136f73"/>
          </w:tcPr>
          <w:p>
            <w:pPr>
              <w:bidi w:val="1"/>
            </w:pPr>
            <w:r/>
            <w:r>
              <w:rPr>
                <w:b/>
                <w:color w:val="FFFFFF"/>
                <w:sz w:val="19"/>
              </w:rPr>
              <w:t>**سیروز جبران‌شده**</w:t>
            </w:r>
          </w:p>
        </w:tc>
      </w:tr>
      <w:tr>
        <w:tc>
          <w:tcPr>
            <w:tcW w:type="dxa" w:w="2578"/>
          </w:tcPr>
          <w:p>
            <w:pPr>
              <w:bidi w:val="1"/>
            </w:pPr>
            <w:r>
              <w:rPr>
                <w:sz w:val="18"/>
              </w:rPr>
            </w:r>
            <w:r>
              <w:rPr>
                <w:rFonts w:ascii="Vazirmatn" w:hAnsi="Vazirmatn"/>
                <w:b/>
                <w:sz w:val="18"/>
              </w:rPr>
              <w:t>Sofosbuvir + Daclatasvir (SOF/DCV)</w:t>
            </w:r>
          </w:p>
        </w:tc>
        <w:tc>
          <w:tcPr>
            <w:tcW w:type="dxa" w:w="2578"/>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578"/>
          </w:tcPr>
          <w:p>
            <w:pPr>
              <w:bidi w:val="1"/>
            </w:pPr>
            <w:r>
              <w:rPr>
                <w:sz w:val="18"/>
              </w:rPr>
            </w:r>
            <w:r>
              <w:rPr>
                <w:rFonts w:ascii="Vazirmatn" w:hAnsi="Vazirmatn"/>
                <w:b/>
                <w:sz w:val="18"/>
              </w:rPr>
              <w:t>۱۲ هفته</w:t>
            </w:r>
          </w:p>
        </w:tc>
        <w:tc>
          <w:tcPr>
            <w:tcW w:type="dxa" w:w="2578"/>
          </w:tcPr>
          <w:p>
            <w:pPr>
              <w:bidi w:val="1"/>
            </w:pPr>
            <w:r>
              <w:rPr>
                <w:sz w:val="18"/>
              </w:rPr>
            </w:r>
            <w:r>
              <w:rPr>
                <w:rFonts w:ascii="Vazirmatn" w:hAnsi="Vazirmatn"/>
                <w:b/>
                <w:sz w:val="18"/>
              </w:rPr>
              <w:t>۲۴ هفته</w:t>
            </w:r>
            <w:r>
              <w:rPr>
                <w:rFonts w:ascii="Vazirmatn" w:hAnsi="Vazirmatn"/>
                <w:sz w:val="18"/>
              </w:rPr>
              <w:t xml:space="preserve"> (WHO: ۱۲ هفته در Genotypeهای غیر ۳ قابل قبول)</w:t>
            </w:r>
          </w:p>
        </w:tc>
      </w:tr>
      <w:tr>
        <w:tc>
          <w:tcPr>
            <w:tcW w:type="dxa" w:w="2578"/>
          </w:tcPr>
          <w:p>
            <w:pPr>
              <w:bidi w:val="1"/>
            </w:pPr>
            <w:r>
              <w:rPr>
                <w:sz w:val="18"/>
              </w:rPr>
            </w:r>
            <w:r>
              <w:rPr>
                <w:rFonts w:ascii="Vazirmatn" w:hAnsi="Vazirmatn"/>
                <w:b/>
                <w:sz w:val="18"/>
              </w:rPr>
              <w:t>Glecaprevir/Pibrentasvir (G/P)</w:t>
            </w:r>
          </w:p>
        </w:tc>
        <w:tc>
          <w:tcPr>
            <w:tcW w:type="dxa" w:w="2578"/>
          </w:tcPr>
          <w:p>
            <w:pPr>
              <w:bidi w:val="1"/>
            </w:pPr>
            <w:r>
              <w:rPr>
                <w:sz w:val="18"/>
              </w:rPr>
            </w:r>
            <w:r>
              <w:rPr>
                <w:rFonts w:ascii="Vazirmatn" w:hAnsi="Vazirmatn"/>
                <w:b/>
                <w:sz w:val="18"/>
              </w:rPr>
              <w:t>۳۰۰/۱۲۰ mg</w:t>
            </w:r>
            <w:r>
              <w:rPr>
                <w:rFonts w:ascii="Vazirmatn" w:hAnsi="Vazirmatn"/>
                <w:sz w:val="18"/>
              </w:rPr>
              <w:t xml:space="preserve"> (سه تابلیت ۱۰۰/۴۰ mg یک جا) فمی روزانه </w:t>
            </w:r>
            <w:r>
              <w:rPr>
                <w:rFonts w:ascii="Vazirmatn" w:hAnsi="Vazirmatn"/>
                <w:b/>
                <w:sz w:val="18"/>
              </w:rPr>
              <w:t>با غذا</w:t>
            </w:r>
          </w:p>
        </w:tc>
        <w:tc>
          <w:tcPr>
            <w:tcW w:type="dxa" w:w="2578"/>
          </w:tcPr>
          <w:p>
            <w:pPr>
              <w:bidi w:val="1"/>
            </w:pPr>
            <w:r>
              <w:rPr>
                <w:sz w:val="18"/>
              </w:rPr>
            </w:r>
            <w:r>
              <w:rPr>
                <w:rFonts w:ascii="Vazirmatn" w:hAnsi="Vazirmatn"/>
                <w:b/>
                <w:sz w:val="18"/>
              </w:rPr>
              <w:t>۸ هفته</w:t>
            </w:r>
          </w:p>
        </w:tc>
        <w:tc>
          <w:tcPr>
            <w:tcW w:type="dxa" w:w="2578"/>
          </w:tcPr>
          <w:p>
            <w:pPr>
              <w:bidi w:val="1"/>
            </w:pPr>
            <w:r>
              <w:rPr>
                <w:sz w:val="18"/>
              </w:rPr>
            </w:r>
            <w:r>
              <w:rPr>
                <w:rFonts w:ascii="Vazirmatn" w:hAnsi="Vazirmatn"/>
                <w:b/>
                <w:sz w:val="18"/>
              </w:rPr>
              <w:t>۱۲ هفته</w:t>
            </w:r>
          </w:p>
        </w:tc>
      </w:tr>
    </w:tbl>
    <w:p>
      <w:pPr>
        <w:bidi w:val="1"/>
      </w:pPr>
      <w:r>
        <w:rPr>
          <w:rFonts w:ascii="Vazirmatn" w:hAnsi="Vazirmatn"/>
        </w:rPr>
        <w:t>(منبع: WHO 2018 — [NCBI Bookshelf](https://www.ncbi.nlm.nih.gov/books/NBK531720/)؛ ACP 2020 — [Ann Intern Med](https://doi.org/10.7326/M19-3860))</w:t>
      </w:r>
    </w:p>
    <w:p>
      <w:pPr>
        <w:ind w:right="340"/>
        <w:bidi w:val="1"/>
      </w:pPr>
      <w:r>
        <w:rPr>
          <w:color w:val="136F73"/>
        </w:rPr>
        <w:t xml:space="preserve">● </w:t>
      </w:r>
      <w:r>
        <w:rPr>
          <w:rFonts w:ascii="Vazirmatn" w:hAnsi="Vazirmatn"/>
          <w:b/>
        </w:rPr>
        <w:t>Daclatasvir</w:t>
      </w:r>
      <w:r>
        <w:rPr>
          <w:rFonts w:ascii="Vazirmatn" w:hAnsi="Vazirmatn"/>
        </w:rPr>
        <w:t xml:space="preserve"> در همراهی با </w:t>
      </w:r>
      <w:r>
        <w:rPr>
          <w:rFonts w:ascii="Vazirmatn" w:hAnsi="Vazirmatn"/>
          <w:b/>
        </w:rPr>
        <w:t>Efavirenz</w:t>
      </w:r>
      <w:r>
        <w:rPr>
          <w:rFonts w:ascii="Vazirmatn" w:hAnsi="Vazirmatn"/>
        </w:rPr>
        <w:t xml:space="preserve"> به ۹۰ mg، و با </w:t>
      </w:r>
      <w:r>
        <w:rPr>
          <w:rFonts w:ascii="Vazirmatn" w:hAnsi="Vazirmatn"/>
          <w:b/>
        </w:rPr>
        <w:t>Atazanavir/ritonavir</w:t>
      </w:r>
      <w:r>
        <w:rPr>
          <w:rFonts w:ascii="Vazirmatn" w:hAnsi="Vazirmatn"/>
        </w:rPr>
        <w:t xml:space="preserve"> یا Clarithromycin به ۳۰ mg تنظیم می‌شود (برچسب).</w:t>
      </w:r>
    </w:p>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w:t>
      </w:r>
      <w:r>
        <w:rPr>
          <w:rFonts w:ascii="Vazirmatn" w:hAnsi="Vazirmatn"/>
        </w:rPr>
        <w:t xml:space="preserve"> وزن‌محور (</w:t>
      </w:r>
      <w:r>
        <w:rPr>
          <w:rFonts w:ascii="Vazirmatn" w:hAnsi="Vazirmatn"/>
          <w:b/>
        </w:rPr>
        <w:t>۱۰۰۰ mg/روز اگر وزن کمتر از ۷۵ kg؛ ۱۲۰۰ mg/روز اگر ۷۵ kg یا بیشتر</w:t>
      </w:r>
      <w:r>
        <w:rPr>
          <w:rFonts w:ascii="Vazirmatn" w:hAnsi="Vazirmatn"/>
        </w:rPr>
        <w:t xml:space="preserve">، به دو دوز، با غذا) × </w:t>
      </w:r>
      <w:r>
        <w:rPr>
          <w:rFonts w:ascii="Vazirmatn" w:hAnsi="Vazirmatn"/>
          <w:b/>
        </w:rPr>
        <w:t>۱۲ هفته</w:t>
      </w:r>
      <w:r>
        <w:rPr>
          <w:rFonts w:ascii="Vazirmatn" w:hAnsi="Vazirmatn"/>
        </w:rPr>
        <w:t xml:space="preserve">. اگر Ribavirin تحمل نشود ← SOF/VEL × ۲۴ هفته. ⚠️ </w:t>
      </w:r>
      <w:r>
        <w:rPr>
          <w:rFonts w:ascii="Vazirmatn" w:hAnsi="Vazirmatn"/>
          <w:b/>
        </w:rPr>
        <w:t>Glecaprevir و Voxilaprevir (مهارکننده‌های Protease) در Child B/C ممنوع‌اند</w:t>
      </w:r>
      <w:r>
        <w:rPr>
          <w:rFonts w:ascii="Vazirmatn" w:hAnsi="Vazirmatn"/>
        </w:rPr>
        <w:t>؛ ارجاع به متخصص.</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t>
      </w:r>
      <w:r>
        <w:rPr>
          <w:rFonts w:ascii="Vazirmatn" w:hAnsi="Vazirmatn"/>
          <w:b/>
        </w:rPr>
        <w:t>Sofosbuvir/Velpatasvir/Voxilaprevir (۴۰۰/۱۰۰/۱۰۰ mg) روزانه × ۱۲ هفته</w:t>
      </w:r>
      <w:r>
        <w:rPr>
          <w:rFonts w:ascii="Vazirmatn" w:hAnsi="Vazirmatn"/>
        </w:rPr>
        <w:t xml:space="preserve"> — متخصص.</w:t>
      </w:r>
    </w:p>
    <w:p>
      <w:pPr>
        <w:ind w:right="340"/>
        <w:bidi w:val="1"/>
      </w:pPr>
      <w:r>
        <w:rPr>
          <w:color w:val="136F73"/>
        </w:rPr>
        <w:t xml:space="preserve">● </w:t>
      </w:r>
      <w:r>
        <w:rPr>
          <w:rFonts w:ascii="Vazirmatn" w:hAnsi="Vazirmatn"/>
          <w:b/>
        </w:rPr>
        <w:t>تداخلات دوایی مهم:</w:t>
      </w:r>
    </w:p>
    <w:p>
      <w:pPr>
        <w:ind w:right="340"/>
        <w:bidi w:val="1"/>
      </w:pPr>
      <w:r>
        <w:rPr>
          <w:color w:val="136F73"/>
        </w:rPr>
        <w:t xml:space="preserve">● </w:t>
      </w:r>
      <w:r>
        <w:rPr>
          <w:rFonts w:ascii="Vazirmatn" w:hAnsi="Vazirmatn"/>
        </w:rPr>
        <w:t xml:space="preserve">⚠️ </w:t>
      </w:r>
      <w:r>
        <w:rPr>
          <w:rFonts w:ascii="Vazirmatn" w:hAnsi="Vazirmatn"/>
          <w:b/>
        </w:rPr>
        <w:t>Amiodarone + Sofosbuvir ← برادی‌کاردی شدید (کشنده)</w:t>
      </w:r>
      <w:r>
        <w:rPr>
          <w:rFonts w:ascii="Vazirmatn" w:hAnsi="Vazirmatn"/>
        </w:rPr>
        <w:t xml:space="preserve"> — منع.</w:t>
      </w:r>
    </w:p>
    <w:p>
      <w:pPr>
        <w:ind w:right="340"/>
        <w:bidi w:val="1"/>
      </w:pPr>
      <w:r>
        <w:rPr>
          <w:color w:val="136F73"/>
        </w:rPr>
        <w:t xml:space="preserve">● </w:t>
      </w:r>
      <w:r>
        <w:rPr>
          <w:rFonts w:ascii="Vazirmatn" w:hAnsi="Vazirmatn"/>
        </w:rPr>
        <w:t xml:space="preserve">⚠️ </w:t>
      </w:r>
      <w:r>
        <w:rPr>
          <w:rFonts w:ascii="Vazirmatn" w:hAnsi="Vazirmatn"/>
          <w:b/>
        </w:rPr>
        <w:t>Rifampicin، Carbamazepine، Phenytoin</w:t>
      </w:r>
      <w:r>
        <w:rPr>
          <w:rFonts w:ascii="Vazirmatn" w:hAnsi="Vazirmatn"/>
        </w:rPr>
        <w:t xml:space="preserve"> (القاکننده‌ها) ← کاهش شدید سطح DAA — منع.</w:t>
      </w:r>
    </w:p>
    <w:p>
      <w:pPr>
        <w:ind w:right="340"/>
        <w:bidi w:val="1"/>
      </w:pPr>
      <w:r>
        <w:rPr>
          <w:color w:val="136F73"/>
        </w:rPr>
        <w:t xml:space="preserve">● </w:t>
      </w:r>
      <w:r>
        <w:rPr>
          <w:rFonts w:ascii="Vazirmatn" w:hAnsi="Vazirmatn"/>
          <w:b/>
        </w:rPr>
        <w:t>دواهای ضد اسید:</w:t>
      </w:r>
      <w:r>
        <w:rPr>
          <w:rFonts w:ascii="Vazirmatn" w:hAnsi="Vazirmatn"/>
        </w:rPr>
        <w:t xml:space="preserve"> </w:t>
      </w:r>
      <w:r>
        <w:rPr>
          <w:rFonts w:ascii="Vazirmatn" w:hAnsi="Vazirmatn"/>
          <w:b/>
        </w:rPr>
        <w:t>PPI با Velpatasvir</w:t>
      </w:r>
      <w:r>
        <w:rPr>
          <w:rFonts w:ascii="Vazirmatn" w:hAnsi="Vazirmatn"/>
        </w:rPr>
        <w:t xml:space="preserve"> — اگر لازم است، </w:t>
      </w:r>
      <w:r>
        <w:rPr>
          <w:rFonts w:ascii="Vazirmatn" w:hAnsi="Vazirmatn"/>
          <w:b/>
        </w:rPr>
        <w:t>Omeprazole حد اکثر ۲۰ mg</w:t>
      </w:r>
      <w:r>
        <w:rPr>
          <w:rFonts w:ascii="Vazirmatn" w:hAnsi="Vazirmatn"/>
        </w:rPr>
        <w:t xml:space="preserve"> و SOF/VEL </w:t>
      </w:r>
      <w:r>
        <w:rPr>
          <w:rFonts w:ascii="Vazirmatn" w:hAnsi="Vazirmatn"/>
          <w:b/>
        </w:rPr>
        <w:t>با غذا، ۴ ساعت پیش از PPI</w:t>
      </w:r>
      <w:r>
        <w:rPr>
          <w:rFonts w:ascii="Vazirmatn" w:hAnsi="Vazirmatn"/>
        </w:rPr>
        <w:t xml:space="preserve"> (برچسب).</w:t>
      </w:r>
    </w:p>
    <w:p>
      <w:pPr>
        <w:ind w:right="340"/>
        <w:bidi w:val="1"/>
      </w:pPr>
      <w:r>
        <w:rPr>
          <w:color w:val="136F73"/>
        </w:rPr>
        <w:t xml:space="preserve">● </w:t>
      </w:r>
      <w:r>
        <w:rPr>
          <w:rFonts w:ascii="Vazirmatn" w:hAnsi="Vazirmatn"/>
          <w:b/>
        </w:rPr>
        <w:t>HBV هم‌زمان:</w:t>
      </w:r>
      <w:r>
        <w:rPr>
          <w:rFonts w:ascii="Vazirmatn" w:hAnsi="Vazirmatn"/>
        </w:rPr>
        <w:t xml:space="preserve"> ⚠️ DAA ممکن است </w:t>
      </w:r>
      <w:r>
        <w:rPr>
          <w:rFonts w:ascii="Vazirmatn" w:hAnsi="Vazirmatn"/>
          <w:b/>
        </w:rPr>
        <w:t>HBV را فعال کند</w:t>
      </w:r>
      <w:r>
        <w:rPr>
          <w:rFonts w:ascii="Vazirmatn" w:hAnsi="Vazirmatn"/>
        </w:rPr>
        <w:t xml:space="preserve"> ← پیش از تداوی </w:t>
      </w:r>
      <w:r>
        <w:rPr>
          <w:rFonts w:ascii="Vazirmatn" w:hAnsi="Vazirmatn"/>
          <w:b/>
        </w:rPr>
        <w:t>HBsAg/Anti-HBc</w:t>
      </w:r>
      <w:r>
        <w:rPr>
          <w:rFonts w:ascii="Vazirmatn" w:hAnsi="Vazirmatn"/>
        </w:rPr>
        <w:t>؛ در HBsAg مثبت‌ها Tenofovir/Entecavir هم‌زمان یا نظارت.</w:t>
      </w:r>
    </w:p>
    <w:p>
      <w:pPr>
        <w:ind w:right="340"/>
        <w:bidi w:val="1"/>
      </w:pPr>
      <w:r>
        <w:rPr>
          <w:color w:val="136F73"/>
        </w:rPr>
        <w:t xml:space="preserve">● </w:t>
      </w:r>
      <w:r>
        <w:rPr>
          <w:rFonts w:ascii="Vazirmatn" w:hAnsi="Vazirmatn"/>
        </w:rPr>
        <w:t xml:space="preserve">(همیشه تداخلات را در </w:t>
      </w:r>
      <w:r>
        <w:rPr>
          <w:rFonts w:ascii="Vazirmatn" w:hAnsi="Vazirmatn"/>
          <w:b/>
        </w:rPr>
        <w:t>hep-druginteractions.org</w:t>
      </w:r>
      <w:r>
        <w:rPr>
          <w:rFonts w:ascii="Vazirmatn" w:hAnsi="Vazirmatn"/>
        </w:rPr>
        <w:t xml:space="preserve"> — دانشگاه لیورپول — چک کن.)</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در آغاز و پایان تداوی</w:t>
      </w:r>
      <w:r>
        <w:rPr>
          <w:rFonts w:ascii="Vazirmatn" w:hAnsi="Vazirmatn"/>
        </w:rPr>
        <w:t xml:space="preserve"> (WHO)؛ </w:t>
      </w:r>
      <w:r>
        <w:rPr>
          <w:rFonts w:ascii="Vazirmatn" w:hAnsi="Vazirmatn"/>
          <w:b/>
        </w:rPr>
        <w:t>شفا = SVR12</w:t>
      </w:r>
      <w:r>
        <w:rPr>
          <w:rFonts w:ascii="Vazirmatn" w:hAnsi="Vazirmatn"/>
        </w:rPr>
        <w:t xml:space="preserve">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rPr>
        <w:t xml:space="preserve">⚠️ </w:t>
      </w:r>
      <w:r>
        <w:rPr>
          <w:rFonts w:ascii="Vazirmatn" w:hAnsi="Vazirmatn"/>
          <w:b/>
        </w:rPr>
        <w:t>پس از شفا:</w:t>
      </w:r>
    </w:p>
    <w:p>
      <w:pPr>
        <w:ind w:right="340"/>
        <w:bidi w:val="1"/>
      </w:pPr>
      <w:r>
        <w:rPr>
          <w:color w:val="136F73"/>
        </w:rPr>
        <w:t xml:space="preserve">● </w:t>
      </w:r>
      <w:r>
        <w:rPr>
          <w:rFonts w:ascii="Vazirmatn" w:hAnsi="Vazirmatn"/>
          <w:b/>
        </w:rPr>
        <w:t>Anti-HCV تا آخر عمر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b/>
        </w:rPr>
        <w:t>ایمنی ایجاد نمی‌شود</w:t>
      </w:r>
      <w:r>
        <w:rPr>
          <w:rFonts w:ascii="Vazirmatn" w:hAnsi="Vazirmatn"/>
        </w:rPr>
        <w:t xml:space="preserve"> ← انتان دوباره ممکن است</w:t>
      </w:r>
    </w:p>
    <w:p>
      <w:pPr>
        <w:ind w:right="340"/>
        <w:bidi w:val="1"/>
      </w:pPr>
      <w:r>
        <w:rPr>
          <w:color w:val="136F73"/>
        </w:rPr>
        <w:t xml:space="preserve">● </w:t>
      </w:r>
      <w:r>
        <w:rPr>
          <w:rFonts w:ascii="Vazirmatn" w:hAnsi="Vazirmatn"/>
          <w:b/>
        </w:rPr>
        <w:t>در سیروز، غربالگری HCC هر ۶ ماه ادامه می‌یابد</w:t>
      </w:r>
      <w:r>
        <w:rPr>
          <w:rFonts w:ascii="Vazirmatn" w:hAnsi="Vazirmatn"/>
        </w:rPr>
        <w:t xml:space="preserve"> (خطر کم می‌شود، اما صفر نمی‌شود)</w:t>
      </w:r>
    </w:p>
    <w:p>
      <w:pPr>
        <w:spacing w:before="160"/>
        <w:bidi w:val="1"/>
      </w:pPr>
      <w:r>
        <w:rPr>
          <w:rFonts w:ascii="Vazirmatn" w:hAnsi="Vazirmatn"/>
          <w:b/>
          <w:sz w:val="23"/>
        </w:rPr>
        <w:t>۶. HDV — «انگل را با گرفتن کلید HBV گرسنه نگه دار»</w:t>
      </w:r>
    </w:p>
    <w:p>
      <w:pPr>
        <w:ind w:right="340"/>
        <w:bidi w:val="1"/>
      </w:pPr>
      <w:r>
        <w:rPr>
          <w:color w:val="136F73"/>
        </w:rPr>
        <w:t xml:space="preserve">● </w:t>
      </w:r>
      <w:r>
        <w:rPr>
          <w:rFonts w:ascii="Vazirmatn" w:hAnsi="Vazirmatn"/>
          <w:b/>
        </w:rPr>
        <w:t>Bulevirtide ۲ mg SC روزانه</w:t>
      </w:r>
      <w:r>
        <w:rPr>
          <w:rFonts w:ascii="Vazirmatn" w:hAnsi="Vazirmatn"/>
        </w:rPr>
        <w:t xml:space="preserve"> (مهارکنندهٔ ورود — NTCP): </w:t>
      </w:r>
      <w:r>
        <w:rPr>
          <w:rFonts w:ascii="Vazirmatn" w:hAnsi="Vazirmatn"/>
          <w:b/>
        </w:rPr>
        <w:t>تأیید EMA</w:t>
      </w:r>
      <w:r>
        <w:rPr>
          <w:rFonts w:ascii="Vazirmatn" w:hAnsi="Vazirmatn"/>
        </w:rPr>
        <w:t xml:space="preserve"> برای HDV مزمن جبران‌شده؛ مدت: دوامدار تا زمانی که فایده دارد. 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 تنها گزینهٔ در دسترس‌تر؛ پاسخ پایدار حدود </w:t>
      </w:r>
      <w:r>
        <w:rPr>
          <w:rFonts w:ascii="Vazirmatn" w:hAnsi="Vazirmatn"/>
          <w:b/>
        </w:rPr>
        <w:t>۲۵–۳۰٪</w:t>
      </w:r>
      <w:r>
        <w:rPr>
          <w:rFonts w:ascii="Vazirmatn" w:hAnsi="Vazirmatn"/>
        </w:rPr>
        <w:t>.</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است داده می‌شوند.</w:t>
      </w:r>
    </w:p>
    <w:p>
      <w:pPr>
        <w:ind w:right="340"/>
        <w:bidi w:val="1"/>
      </w:pPr>
      <w:r>
        <w:rPr>
          <w:color w:val="136F73"/>
        </w:rPr>
        <w:t xml:space="preserve">● </w:t>
      </w:r>
      <w:r>
        <w:rPr>
          <w:rFonts w:ascii="Vazirmatn" w:hAnsi="Vazirmatn"/>
        </w:rPr>
        <w:t>ارجاع به مرکز هپاتولوژی؛ HDV سریع‌ترین مسیر به سیروز است.</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w:t>
      </w:r>
      <w:r>
        <w:rPr>
          <w:rFonts w:ascii="Vazirmatn" w:hAnsi="Vazirmatn"/>
          <w:b/>
        </w:rPr>
        <w:t>فقط حمایوی</w:t>
      </w:r>
      <w:r>
        <w:rPr>
          <w:rFonts w:ascii="Vazirmatn" w:hAnsi="Vazirmatn"/>
        </w:rPr>
        <w:t xml:space="preserve"> (و فصل ۳۱ در ALF).</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w:t>
      </w:r>
      <w:r>
        <w:rPr>
          <w:rFonts w:ascii="Vazirmatn" w:hAnsi="Vazirmatn"/>
          <w:b/>
        </w:rPr>
        <w:t>کاهش ایمونوسپرشن</w:t>
      </w:r>
      <w:r>
        <w:rPr>
          <w:rFonts w:ascii="Vazirmatn" w:hAnsi="Vazirmatn"/>
        </w:rPr>
        <w:t xml:space="preserve"> ← اگر پاک نشد: </w:t>
      </w:r>
      <w:r>
        <w:rPr>
          <w:rFonts w:ascii="Vazirmatn" w:hAnsi="Vazirmatn"/>
          <w:b/>
        </w:rPr>
        <w:t>Ribavirin ۶۰۰–۸۰۰ mg/روز فمی × ۳ ماه</w:t>
      </w:r>
      <w:r>
        <w:rPr>
          <w:rFonts w:ascii="Vazirmatn" w:hAnsi="Vazirmatn"/>
        </w:rPr>
        <w:t xml:space="preserve"> (EASL 2018 HEV) — متخصص.</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b/>
        </w:rPr>
        <w:t>چون</w:t>
      </w:r>
      <w:r>
        <w:rPr>
          <w:rFonts w:ascii="Vazirmatn" w:hAnsi="Vazirmatn"/>
        </w:rPr>
        <w:t xml:space="preserve"> بیشتر بار هپاتیت در افغانستان </w:t>
      </w:r>
      <w:r>
        <w:rPr>
          <w:rFonts w:ascii="Vazirmatn" w:hAnsi="Vazirmatn"/>
          <w:b/>
        </w:rPr>
        <w:t>قابل پیشگیری</w:t>
      </w:r>
      <w:r>
        <w:rPr>
          <w:rFonts w:ascii="Vazirmatn" w:hAnsi="Vazirmatn"/>
        </w:rPr>
        <w:t xml:space="preserve"> است، هر داکتر در عین حال </w:t>
      </w:r>
      <w:r>
        <w:rPr>
          <w:rFonts w:ascii="Vazirmatn" w:hAnsi="Vazirmatn"/>
          <w:b/>
        </w:rPr>
        <w:t>متخصص صحت عامه</w:t>
      </w:r>
      <w:r>
        <w:rPr>
          <w:rFonts w:ascii="Vazirmatn" w:hAnsi="Vazirmatn"/>
        </w:rPr>
        <w:t xml:space="preserve">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پیشگیری</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واکسین HBV:</w:t>
            </w:r>
            <w:r>
              <w:rPr>
                <w:rFonts w:ascii="Vazirmatn" w:hAnsi="Vazirmatn"/>
                <w:sz w:val="18"/>
              </w:rPr>
              <w:t xml:space="preserve"> </w:t>
            </w:r>
            <w:r>
              <w:rPr>
                <w:rFonts w:ascii="Vazirmatn" w:hAnsi="Vazirmatn"/>
                <w:b/>
                <w:sz w:val="18"/>
              </w:rPr>
              <w:t>دوز تولد در ۲۴ ساعت</w:t>
            </w:r>
            <w:r>
              <w:rPr>
                <w:rFonts w:ascii="Vazirmatn" w:hAnsi="Vazirmatn"/>
                <w:sz w:val="18"/>
              </w:rPr>
              <w:t xml:space="preserve"> + سه دوز در EPI (۶، ۱۰، ۱۴ هفته — برنامهٔ ملی)؛ بزرگسالان غیرایمن (</w:t>
            </w:r>
            <w:r>
              <w:rPr>
                <w:rFonts w:ascii="Vazirmatn" w:hAnsi="Vazirmatn"/>
                <w:b/>
                <w:sz w:val="18"/>
              </w:rPr>
              <w:t>کارکنان صحی</w:t>
            </w:r>
            <w:r>
              <w:rPr>
                <w:rFonts w:ascii="Vazirmatn" w:hAnsi="Vazirmatn"/>
                <w:sz w:val="18"/>
              </w:rPr>
              <w:t xml:space="preserve">، دیالیز، تماس‌های خانوادگی، شرکای جنسی): </w:t>
            </w:r>
            <w:r>
              <w:rPr>
                <w:rFonts w:ascii="Vazirmatn" w:hAnsi="Vazirmatn"/>
                <w:b/>
                <w:sz w:val="18"/>
              </w:rPr>
              <w:t>۰، ۱ و ۶ ماه</w:t>
            </w:r>
            <w:r>
              <w:rPr>
                <w:rFonts w:ascii="Vazirmatn" w:hAnsi="Vazirmatn"/>
                <w:sz w:val="18"/>
              </w:rPr>
              <w:t xml:space="preserve"> (۲۰ mcg IM در دلتوئید)؛ </w:t>
            </w:r>
            <w:r>
              <w:rPr>
                <w:rFonts w:ascii="Vazirmatn" w:hAnsi="Vazirmatn"/>
                <w:b/>
                <w:sz w:val="18"/>
              </w:rPr>
              <w:t>Anti-HBs پس از واکسین در کارکنان صحی</w:t>
            </w:r>
            <w:r>
              <w:rPr>
                <w:rFonts w:ascii="Vazirmatn" w:hAnsi="Vazirmatn"/>
                <w:sz w:val="18"/>
              </w:rPr>
              <w:t xml:space="preserve"> (هدف </w:t>
            </w:r>
            <w:r>
              <w:rPr>
                <w:rFonts w:ascii="Vazirmatn" w:hAnsi="Vazirmatn"/>
                <w:b/>
                <w:sz w:val="18"/>
              </w:rPr>
              <w:t>≥ ۱۰ mIU/mL</w:t>
            </w:r>
            <w:r>
              <w:rPr>
                <w:rFonts w:ascii="Vazirmatn" w:hAnsi="Vazirmatn"/>
                <w:sz w:val="18"/>
              </w:rPr>
              <w:t>)</w:t>
            </w:r>
          </w:p>
        </w:tc>
      </w:tr>
      <w:tr>
        <w:tc>
          <w:tcPr>
            <w:tcW w:type="dxa" w:w="5156"/>
          </w:tcPr>
          <w:p>
            <w:pPr>
              <w:bidi w:val="1"/>
            </w:pPr>
            <w:r>
              <w:rPr>
                <w:sz w:val="18"/>
              </w:rPr>
            </w:r>
            <w:r>
              <w:rPr>
                <w:rFonts w:ascii="Vazirmatn" w:hAnsi="Vazirmatn"/>
                <w:b/>
                <w:sz w:val="18"/>
              </w:rPr>
              <w:t>HBV/HCV</w:t>
            </w:r>
          </w:p>
        </w:tc>
        <w:tc>
          <w:tcPr>
            <w:tcW w:type="dxa" w:w="5156"/>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واقعاً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w:t>
            </w:r>
            <w:r>
              <w:rPr>
                <w:rFonts w:ascii="Vazirmatn" w:hAnsi="Vazirmatn"/>
                <w:b/>
                <w:sz w:val="18"/>
              </w:rPr>
              <w:t>تیغ سلمانی شخصی</w:t>
            </w:r>
            <w:r>
              <w:rPr>
                <w:rFonts w:ascii="Vazirmatn" w:hAnsi="Vazirmatn"/>
                <w:sz w:val="18"/>
              </w:rPr>
              <w:t xml:space="preserve">؛ </w:t>
            </w:r>
            <w:r>
              <w:rPr>
                <w:rFonts w:ascii="Vazirmatn" w:hAnsi="Vazirmatn"/>
                <w:b/>
                <w:sz w:val="18"/>
              </w:rPr>
              <w:t>حجامت/ختنه با وسایل یک‌بارمصرف</w:t>
            </w:r>
            <w:r>
              <w:rPr>
                <w:rFonts w:ascii="Vazirmatn" w:hAnsi="Vazirmatn"/>
                <w:sz w:val="18"/>
              </w:rPr>
              <w:t xml:space="preserve">؛ </w:t>
            </w:r>
            <w:r>
              <w:rPr>
                <w:rFonts w:ascii="Vazirmatn" w:hAnsi="Vazirmatn"/>
                <w:b/>
                <w:sz w:val="18"/>
              </w:rPr>
              <w:t>برنامه‌های کاهش ضرر</w:t>
            </w:r>
            <w:r>
              <w:rPr>
                <w:rFonts w:ascii="Vazirmatn" w:hAnsi="Vazirmatn"/>
                <w:sz w:val="18"/>
              </w:rPr>
              <w:t xml:space="preserve"> (سرنج پاک، </w:t>
            </w:r>
            <w:r>
              <w:rPr>
                <w:rFonts w:ascii="Vazirmatn" w:hAnsi="Vazirmatn"/>
                <w:b/>
                <w:sz w:val="18"/>
              </w:rPr>
              <w:t>تداوی جانشینی مواد مخدر</w:t>
            </w:r>
            <w:r>
              <w:rPr>
                <w:rFonts w:ascii="Vazirmatn" w:hAnsi="Vazirmatn"/>
                <w:sz w:val="18"/>
              </w:rPr>
              <w:t>)</w:t>
            </w:r>
          </w:p>
        </w:tc>
      </w:tr>
      <w:tr>
        <w:tc>
          <w:tcPr>
            <w:tcW w:type="dxa" w:w="5156"/>
          </w:tcPr>
          <w:p>
            <w:pPr>
              <w:bidi w:val="1"/>
            </w:pPr>
            <w:r>
              <w:rPr>
                <w:sz w:val="18"/>
              </w:rPr>
            </w:r>
            <w:r>
              <w:rPr>
                <w:rFonts w:ascii="Vazirmatn" w:hAnsi="Vazirmatn"/>
                <w:b/>
                <w:sz w:val="18"/>
              </w:rPr>
              <w:t>پس از تماس با سوزن (کارکن صحی)</w:t>
            </w:r>
          </w:p>
        </w:tc>
        <w:tc>
          <w:tcPr>
            <w:tcW w:type="dxa" w:w="5156"/>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بهتر در ۲۴ ساعت)؛ </w:t>
            </w:r>
            <w:r>
              <w:rPr>
                <w:rFonts w:ascii="Vazirmatn" w:hAnsi="Vazirmatn"/>
                <w:b/>
                <w:sz w:val="18"/>
              </w:rPr>
              <w:t>HCV:</w:t>
            </w:r>
            <w:r>
              <w:rPr>
                <w:rFonts w:ascii="Vazirmatn" w:hAnsi="Vazirmatn"/>
                <w:sz w:val="18"/>
              </w:rPr>
              <w:t xml:space="preserve"> پیشگیری دوایی وجود ندارد ← </w:t>
            </w:r>
            <w:r>
              <w:rPr>
                <w:rFonts w:ascii="Vazirmatn" w:hAnsi="Vazirmatn"/>
                <w:b/>
                <w:sz w:val="18"/>
              </w:rPr>
              <w:t>HCV RNA در ۳–۶ هفته</w:t>
            </w:r>
            <w:r>
              <w:rPr>
                <w:rFonts w:ascii="Vazirmatn" w:hAnsi="Vazirmatn"/>
                <w:sz w:val="18"/>
              </w:rPr>
              <w:t xml:space="preserve">، سپس Anti-HCV؛ </w:t>
            </w:r>
            <w:r>
              <w:rPr>
                <w:rFonts w:ascii="Vazirmatn" w:hAnsi="Vazirmatn"/>
                <w:b/>
                <w:sz w:val="18"/>
              </w:rPr>
              <w:t>HIV:</w:t>
            </w:r>
            <w:r>
              <w:rPr>
                <w:rFonts w:ascii="Vazirmatn" w:hAnsi="Vazirmatn"/>
                <w:sz w:val="18"/>
              </w:rPr>
              <w:t xml:space="preserve"> PEP (فصل مربوطه)</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xml:space="preserve">؛ </w:t>
      </w:r>
      <w:r>
        <w:rPr>
          <w:rFonts w:ascii="Vazirmatn" w:hAnsi="Vazirmatn"/>
          <w:b/>
        </w:rPr>
        <w:t>وزن سالم</w:t>
      </w:r>
      <w:r>
        <w:rPr>
          <w:rFonts w:ascii="Vazirmatn" w:hAnsi="Vazirmatn"/>
        </w:rPr>
        <w:t xml:space="preserve"> (MASLD آسیب را جمع می‌کند)</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اطمینان بده که </w:t>
      </w:r>
      <w:r>
        <w:rPr>
          <w:rFonts w:ascii="Vazirmatn" w:hAnsi="Vazirmatn"/>
          <w:b/>
        </w:rPr>
        <w:t>دست دادن، غذا خوردن مشترک، بغل کردن و شیر دادن HBV را منتقل نمی‌کنند</w:t>
      </w:r>
      <w:r>
        <w:rPr>
          <w:rFonts w:ascii="Vazirmatn" w:hAnsi="Vazirmatn"/>
        </w:rPr>
        <w:t xml:space="preserve">. ⚠️ </w:t>
      </w:r>
      <w:r>
        <w:rPr>
          <w:rFonts w:ascii="Vazirmatn" w:hAnsi="Vazirmatn"/>
          <w:b/>
        </w:rPr>
        <w:t>بدنامی (Stigma)</w:t>
      </w:r>
      <w:r>
        <w:rPr>
          <w:rFonts w:ascii="Vazirmatn" w:hAnsi="Vazirmatn"/>
        </w:rPr>
        <w:t xml:space="preserve"> در افغانستان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b/>
                <w:sz w:val="18"/>
              </w:rPr>
              <w:t>هپاتیت کولستاتیک</w:t>
            </w:r>
            <w:r>
              <w:rPr>
                <w:rFonts w:ascii="Vazirmatn" w:hAnsi="Vazirmatn"/>
                <w:sz w:val="18"/>
              </w:rPr>
              <w:t xml:space="preserve"> (خارش و یرقان ماه‌ها) و </w:t>
            </w:r>
            <w:r>
              <w:rPr>
                <w:rFonts w:ascii="Vazirmatn" w:hAnsi="Vazirmatn"/>
                <w:b/>
                <w:sz w:val="18"/>
              </w:rPr>
              <w:t>هپاتیت 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w:t>
            </w:r>
          </w:p>
        </w:tc>
        <w:tc>
          <w:tcPr>
            <w:tcW w:type="dxa" w:w="3437"/>
          </w:tcPr>
          <w:p>
            <w:pPr>
              <w:bidi w:val="1"/>
            </w:pPr>
            <w:r>
              <w:rPr>
                <w:sz w:val="18"/>
              </w:rPr>
            </w:r>
            <w:r>
              <w:rPr>
                <w:rFonts w:ascii="Vazirmatn" w:hAnsi="Vazirmatn"/>
                <w:sz w:val="18"/>
              </w:rPr>
              <w:t>HBV (۲۰–۳۰٪ هپاتیت مزمن در طول عمر)، HCV (</w:t>
            </w:r>
            <w:r>
              <w:rPr>
                <w:rFonts w:ascii="Vazirmatn" w:hAnsi="Vazirmatn"/>
                <w:b/>
                <w:sz w:val="18"/>
              </w:rPr>
              <w:t>۱۵–۳۰٪ در ۲۰–۳۰ سال</w:t>
            </w:r>
            <w:r>
              <w:rPr>
                <w:rFonts w:ascii="Vazirmatn" w:hAnsi="Vazirmatn"/>
                <w:sz w:val="18"/>
              </w:rPr>
              <w:t xml:space="preserve">؛ سریع‌تر با الکول، HIV و MASLD)، </w:t>
            </w:r>
            <w:r>
              <w:rPr>
                <w:rFonts w:ascii="Vazirmatn" w:hAnsi="Vazirmatn"/>
                <w:b/>
                <w:sz w:val="18"/>
              </w:rPr>
              <w:t>HDV (سریع‌ترین)</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بهبود کامل در بیش از ۹۹٪؛ مرگ‌ومیر در سن بالا بیشتر.</w:t>
      </w:r>
    </w:p>
    <w:p>
      <w:pPr>
        <w:ind w:right="340"/>
        <w:bidi w:val="1"/>
      </w:pPr>
      <w:r>
        <w:rPr>
          <w:color w:val="136F73"/>
        </w:rPr>
        <w:t xml:space="preserve">● </w:t>
      </w:r>
      <w:r>
        <w:rPr>
          <w:rFonts w:ascii="Vazirmatn" w:hAnsi="Vazirmatn"/>
          <w:b/>
        </w:rPr>
        <w:t>HEV:</w:t>
      </w:r>
      <w:r>
        <w:rPr>
          <w:rFonts w:ascii="Vazirmatn" w:hAnsi="Vazirmatn"/>
        </w:rPr>
        <w:t xml:space="preserve"> اکثراً خوب؛ ⚠️ </w:t>
      </w:r>
      <w:r>
        <w:rPr>
          <w:rFonts w:ascii="Vazirmatn" w:hAnsi="Vazirmatn"/>
          <w:b/>
        </w:rPr>
        <w:t>حاملگی سه‌ماههٔ سوم: مرگ‌ومیر تا ۲۰–۲۵٪.</w:t>
      </w:r>
    </w:p>
    <w:p>
      <w:pPr>
        <w:ind w:right="340"/>
        <w:bidi w:val="1"/>
      </w:pPr>
      <w:r>
        <w:rPr>
          <w:color w:val="136F73"/>
        </w:rPr>
        <w:t xml:space="preserve">● </w:t>
      </w:r>
      <w:r>
        <w:rPr>
          <w:rFonts w:ascii="Vazirmatn" w:hAnsi="Vazirmatn"/>
          <w:b/>
        </w:rPr>
        <w:t>HBV مزمن تداوی‌شده:</w:t>
      </w:r>
      <w:r>
        <w:rPr>
          <w:rFonts w:ascii="Vazirmatn" w:hAnsi="Vazirmatn"/>
        </w:rPr>
        <w:t xml:space="preserve"> سرکوب ویروس در بیش از ۹۰٪ ← </w:t>
      </w:r>
      <w:r>
        <w:rPr>
          <w:rFonts w:ascii="Vazirmatn" w:hAnsi="Vazirmatn"/>
          <w:b/>
        </w:rPr>
        <w:t>پسرفت فایبروز</w:t>
      </w:r>
      <w:r>
        <w:rPr>
          <w:rFonts w:ascii="Vazirmatn" w:hAnsi="Vazirmatn"/>
        </w:rPr>
        <w:t xml:space="preserve"> و </w:t>
      </w:r>
      <w:r>
        <w:rPr>
          <w:rFonts w:ascii="Vazirmatn" w:hAnsi="Vazirmatn"/>
          <w:b/>
        </w:rPr>
        <w:t>کاهش HCC</w:t>
      </w:r>
      <w:r>
        <w:rPr>
          <w:rFonts w:ascii="Vazirmatn" w:hAnsi="Vazirmatn"/>
        </w:rPr>
        <w:t xml:space="preserve"> (اما نه صفر).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SVR بیش از ۹۵٪</w:t>
      </w:r>
      <w:r>
        <w:rPr>
          <w:rFonts w:ascii="Vazirmatn" w:hAnsi="Vazirmatn"/>
        </w:rPr>
        <w:t xml:space="preserve"> ← کاهش مرگ‌ومیر، جبران‌نشدگی و HCC.</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sz w:val="18"/>
              </w:rPr>
              <w:t xml:space="preserve">ALT، </w:t>
            </w:r>
            <w:r>
              <w:rPr>
                <w:rFonts w:ascii="Vazirmatn" w:hAnsi="Vazirmatn"/>
                <w:b/>
                <w:sz w:val="18"/>
              </w:rPr>
              <w:t>HBV DNA</w:t>
            </w:r>
            <w:r>
              <w:rPr>
                <w:rFonts w:ascii="Vazirmatn" w:hAnsi="Vazirmatn"/>
                <w:sz w:val="18"/>
              </w:rPr>
              <w:t xml:space="preserve">، کریاتینین/فاسفیت هر ۶–۱۲ ماه؛ </w:t>
            </w:r>
            <w:r>
              <w:rPr>
                <w:rFonts w:ascii="Vazirmatn" w:hAnsi="Vazirmatn"/>
                <w:b/>
                <w:sz w:val="18"/>
              </w:rPr>
              <w:t>سونوگرافی ± AFP هر ۶ ماه</w:t>
            </w:r>
            <w:r>
              <w:rPr>
                <w:rFonts w:ascii="Vazirmatn" w:hAnsi="Vazirmatn"/>
                <w:sz w:val="18"/>
              </w:rPr>
              <w:t xml:space="preserve"> (پرخطر)؛ ارزیابی فایبروز سالانه</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(و HBV DNA) هر ۶–۱۲ ماه</w:t>
            </w:r>
            <w:r>
              <w:rPr>
                <w:rFonts w:ascii="Vazirmatn" w:hAnsi="Vazirmatn"/>
                <w:sz w:val="18"/>
              </w:rPr>
              <w:t xml:space="preserve">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 مورد انتان دوباره)؛ HCV RNA سالانه در خطر ادامه‌دار</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کشنده است.</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Updated recommendations on treatment of adolescents and children with chronic HCV infection, and HCV simplified service delivery and diagnostics.</w:t>
      </w:r>
      <w:r>
        <w:rPr>
          <w:rFonts w:ascii="Vazirmatn" w:hAnsi="Vazirmatn"/>
        </w:rPr>
        <w:t xml:space="preserve"> Geneva: WHO; 2022.</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2018;67:1560–1599.</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2017;67:370–398.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recommendations on treatment of hepatitis C: Final update of the series.</w:t>
      </w:r>
      <w:r>
        <w:rPr>
          <w:rFonts w:ascii="Vazirmatn" w:hAnsi="Vazirmatn"/>
        </w:rPr>
        <w:t xml:space="preserve"> J Hepatol. 2020;73:1170–1218.</w:t>
      </w:r>
    </w:p>
    <w:p>
      <w:pPr>
        <w:ind w:right="340"/>
        <w:bidi w:val="1"/>
      </w:pPr>
      <w:r>
        <w:rPr>
          <w:color w:val="136F73"/>
        </w:rPr>
        <w:t xml:space="preserve">● </w:t>
      </w:r>
      <w:r>
        <w:rPr>
          <w:rFonts w:ascii="Vazirmatn" w:hAnsi="Vazirmatn"/>
        </w:rPr>
        <w:t xml:space="preserve">AASLD–IDSA. </w:t>
      </w:r>
      <w:r>
        <w:rPr>
          <w:rFonts w:ascii="Vazirmatn" w:hAnsi="Vazirmatn"/>
          <w:b/>
        </w:rPr>
        <w:t>HCV Guidance: Recommendations for Testing, Managing, and Treating Hepatitis C.</w:t>
      </w:r>
      <w:r>
        <w:rPr>
          <w:rFonts w:ascii="Vazirmatn" w:hAnsi="Vazirmatn"/>
        </w:rPr>
        <w:t xml:space="preserve"> hcvguidelines.org (online, updated regularly).</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2018;68:1256–1271.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2023;79:433–460.</w:t>
      </w:r>
    </w:p>
    <w:p>
      <w:pPr>
        <w:ind w:right="340"/>
        <w:bidi w:val="1"/>
      </w:pPr>
      <w:r>
        <w:rPr>
          <w:color w:val="136F73"/>
        </w:rPr>
        <w:t xml:space="preserve">● </w:t>
      </w:r>
      <w:r>
        <w:rPr>
          <w:rFonts w:ascii="Vazirmatn" w:hAnsi="Vazirmatn"/>
        </w:rPr>
        <w:t xml:space="preserve">Qaseem A, et al. </w:t>
      </w:r>
      <w:r>
        <w:rPr>
          <w:rFonts w:ascii="Vazirmatn" w:hAnsi="Vazirmatn"/>
          <w:b/>
        </w:rPr>
        <w:t>World Health Organization Guidelines on Treatment of Hepatitis C Virus Infection: Best Practice Advice From the American College of Physicians.</w:t>
      </w:r>
      <w:r>
        <w:rPr>
          <w:rFonts w:ascii="Vazirmatn" w:hAnsi="Vazirmatn"/>
        </w:rPr>
        <w:t xml:space="preserve"> Ann Intern Med. 2020;172:823–824. https://doi.org/10.7326/M19-3860</w:t>
      </w:r>
    </w:p>
    <w:p>
      <w:pPr>
        <w:ind w:right="340"/>
        <w:bidi w:val="1"/>
      </w:pPr>
      <w:r>
        <w:rPr>
          <w:color w:val="136F73"/>
        </w:rPr>
        <w:t xml:space="preserve">● </w:t>
      </w:r>
      <w:r>
        <w:rPr>
          <w:rFonts w:ascii="Vazirmatn" w:hAnsi="Vazirmatn"/>
        </w:rPr>
        <w:t xml:space="preserve">Perrillo RP, Gish R, Falck-Ytter YT. </w:t>
      </w:r>
      <w:r>
        <w:rPr>
          <w:rFonts w:ascii="Vazirmatn" w:hAnsi="Vazirmatn"/>
          <w:b/>
        </w:rPr>
        <w:t>American Gastroenterological Association Institute technical review on prevention and treatment of hepatitis B virus reactivation during immunosuppressive drug therapy.</w:t>
      </w:r>
      <w:r>
        <w:rPr>
          <w:rFonts w:ascii="Vazirmatn" w:hAnsi="Vazirmatn"/>
        </w:rPr>
        <w:t xml:space="preserve"> Gastroenterology. 2015;148:221–244.</w:t>
      </w:r>
    </w:p>
    <w:p>
      <w:pPr>
        <w:ind w:right="340"/>
        <w:bidi w:val="1"/>
      </w:pPr>
      <w:r>
        <w:rPr>
          <w:color w:val="136F73"/>
        </w:rPr>
        <w:t xml:space="preserve">● </w:t>
      </w:r>
      <w:r>
        <w:rPr>
          <w:rFonts w:ascii="Vazirmatn" w:hAnsi="Vazirmatn"/>
          <w:i/>
        </w:rPr>
        <w:t>[معیارهای تداوی HBV (WHO 2024) و رژیم‌ها/مدت‌های HCV (WHO 2018، ACP 2020) در این جلسه با جستجوی وب تأیید شدند. دوزهای ETV/TAF/TDF (و تنظیم گرده)، Peg-IFN، Bulevirtide، Ribavirin، HBIG، پیشگیری Reactivation و آستانهٔ حاملگی ۲۰۰٬۰۰۰ IU/mL از برچسب‌ها و رهنمودهای فوق (از دانش) هستند و در دفتر تأیید دوز 🟡 علامت خورده‌اند.]</w:t>
      </w:r>
    </w:p>
    <w:p>
      <w:pPr>
        <w:bidi w:val="1"/>
      </w:pPr>
      <w:r>
        <w:rPr>
          <w:color w:val="B8913A"/>
        </w:rPr>
        <w:t>❖ ❖ ❖</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