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کاهل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کاهلان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 xml:space="preserve">Furosemide را </w:t>
      </w:r>
      <w:r>
        <w:rPr>
          <w:rFonts w:ascii="Vazirmatn" w:hAnsi="Vazirmatn"/>
          <w:b/>
        </w:rPr>
        <w:t>۲–۳ بار در روز</w:t>
      </w:r>
      <w:r>
        <w:rPr>
          <w:rFonts w:ascii="Vazirmatn" w:hAnsi="Vazirmatn"/>
        </w:rPr>
        <w:t xml:space="preserve"> یا به شکل انفیوژن دوامدار بده؛ یک بولوس واحد روزانه توصیه نمی‌شود.</w:t>
      </w:r>
    </w:p>
    <w:p>
      <w:pPr>
        <w:ind w:right="340"/>
        <w:bidi w:val="1"/>
      </w:pPr>
      <w:r>
        <w:rPr>
          <w:color w:val="136F73"/>
        </w:rPr>
        <w:t xml:space="preserve">● </w:t>
      </w:r>
      <w:r>
        <w:rPr>
          <w:rFonts w:ascii="Vazirmatn" w:hAnsi="Vazirmatn"/>
        </w:rPr>
        <w:t xml:space="preserve">پاسخ را ببین: پاسخ کافی = </w:t>
      </w:r>
      <w:r>
        <w:rPr>
          <w:rFonts w:ascii="Vazirmatn" w:hAnsi="Vazirmatn"/>
          <w:b/>
        </w:rPr>
        <w:t>Sodium ادرار بیشتر از ۵۰–۷۰ mEq/L پس از ۲ ساعت</w:t>
      </w:r>
      <w:r>
        <w:rPr>
          <w:rFonts w:ascii="Vazirmatn" w:hAnsi="Vazirmatn"/>
        </w:rPr>
        <w:t xml:space="preserve"> و/یا </w:t>
      </w:r>
      <w:r>
        <w:rPr>
          <w:rFonts w:ascii="Vazirmatn" w:hAnsi="Vazirmatn"/>
          <w:b/>
        </w:rPr>
        <w:t>ادرار بیشتر از ۱۰۰–۱۵۰ mL/h در ۶ ساعت اول</w:t>
      </w:r>
      <w:r>
        <w:rPr>
          <w:rFonts w:ascii="Vazirmatn" w:hAnsi="Vazirmatn"/>
        </w:rPr>
        <w:t xml:space="preserve"> (ESC 2021). اگر پاسخ کم بود، دوز Loop را دو برابر کن؛ اگر باز هم کم بود، یک Thiazide یا Acetazolamide اضافه کن (نه دو Loop diuretic با هم). حد اعظمی روزانهٔ Furosemide وریدی معمولاً </w:t>
      </w:r>
      <w:r>
        <w:rPr>
          <w:rFonts w:ascii="Vazirmatn" w:hAnsi="Vazirmatn"/>
          <w:b/>
        </w:rPr>
        <w:t>۴۰۰–۶۰۰ mg</w:t>
      </w:r>
      <w:r>
        <w:rPr>
          <w:rFonts w:ascii="Vazirmatn" w:hAnsi="Vazirmatn"/>
        </w:rPr>
        <w:t xml:space="preserve"> است؛ در عدم کفایهٔ شدید گرده تا ۱۰۰۰ mg در نظر گرفته می‌شود (ESC 2021، شکل ۱۳).</w:t>
      </w:r>
    </w:p>
    <w:p>
      <w:pPr>
        <w:ind w:right="340"/>
        <w:bidi w:val="1"/>
      </w:pPr>
      <w:r>
        <w:rPr>
          <w:b/>
          <w:color w:val="136F73"/>
        </w:rPr>
        <w:t xml:space="preserve">4. </w:t>
      </w:r>
      <w:r>
        <w:rPr>
          <w:rFonts w:ascii="Vazirmatn" w:hAnsi="Vazirmatn"/>
          <w:b/>
        </w:rPr>
        <w:t>قدم ۴ — Vasodilator</w:t>
      </w:r>
      <w:r>
        <w:rPr>
          <w:rFonts w:ascii="Vazirmatn" w:hAnsi="Vazirmatn"/>
        </w:rPr>
        <w:t xml:space="preserve"> (ESC 2021: اگر </w:t>
      </w:r>
      <w:r>
        <w:rPr>
          <w:rFonts w:ascii="Vazirmatn" w:hAnsi="Vazirmatn"/>
          <w:b/>
        </w:rPr>
        <w:t>BP سیستولیک &gt; ۱۱۰ mmHg</w:t>
      </w:r>
      <w:r>
        <w:rPr>
          <w:rFonts w:ascii="Vazirmatn" w:hAnsi="Vazirmatn"/>
        </w:rPr>
        <w:t xml:space="preserve">، Class IIb):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 در ادیمای حاد شش با فشار بسیار بلند، Nitroglycerin به شکل </w:t>
      </w:r>
      <w:r>
        <w:rPr>
          <w:rFonts w:ascii="Vazirmatn" w:hAnsi="Vazirmatn"/>
          <w:b/>
        </w:rPr>
        <w:t>بولوس ۱–۲ mg</w:t>
      </w:r>
      <w:r>
        <w:rPr>
          <w:rFonts w:ascii="Vazirmatn" w:hAnsi="Vazirmatn"/>
        </w:rPr>
        <w:t xml:space="preserve"> هم داده می‌شود (ESC 2021). در LVH یا تنگی شدید Aortic با احتیاط زیاد. 🔒 ارقام انفیوژن Nitrate/Nitroprusside در جدول ضمیمهٔ ۲۱ ESC آمده که خوانده نشد → </w:t>
      </w:r>
      <w:r>
        <w:rPr>
          <w:rFonts w:ascii="Vazirmatn" w:hAnsi="Vazirmatn"/>
          <w:b/>
        </w:rPr>
        <w:t>SD-99</w:t>
      </w:r>
      <w:r>
        <w:rPr>
          <w:rFonts w:ascii="Vazirmatn" w:hAnsi="Vazirmatn"/>
        </w:rPr>
        <w:t>.</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(ESC 2021: اگر ضربان بیشتر از ۱۱۰ با وجود Beta-blocker؛ بولوس </w:t>
      </w:r>
      <w:r>
        <w:rPr>
          <w:rFonts w:ascii="Vazirmatn" w:hAnsi="Vazirmatn"/>
          <w:b/>
        </w:rPr>
        <w:t>۰٫۲۵–۰٫۵ mg IV</w:t>
      </w:r>
      <w:r>
        <w:rPr>
          <w:rFonts w:ascii="Vazirmatn" w:hAnsi="Vazirmatn"/>
        </w:rPr>
        <w:t xml:space="preserve"> اگر قبلاً Digoxin نگرفته؛ در CKD و سالمندان سطح سیرم را اندازه کن)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فقط وقتی </w:t>
      </w:r>
      <w:r>
        <w:rPr>
          <w:rFonts w:ascii="Vazirmatn" w:hAnsi="Vazirmatn"/>
          <w:b/>
        </w:rPr>
        <w:t>BP سیستولیک کمتر از ۹۰</w:t>
      </w:r>
      <w:r>
        <w:rPr>
          <w:rFonts w:ascii="Vazirmatn" w:hAnsi="Vazirmatn"/>
        </w:rPr>
        <w:t xml:space="preserve"> با علایم کم‌رسیدن خون به اعضا است (به‌طور روتین نه)؛ Vasopressor ترجیحاً </w:t>
      </w:r>
      <w:r>
        <w:rPr>
          <w:rFonts w:ascii="Vazirmatn" w:hAnsi="Vazirmatn"/>
          <w:b/>
        </w:rPr>
        <w:t>Noradrenaline</w:t>
      </w:r>
      <w:r>
        <w:rPr>
          <w:rFonts w:ascii="Vazirmatn" w:hAnsi="Vazirmatn"/>
        </w:rPr>
        <w:t xml:space="preserve">؛ و در مراکز مجهز حمایت میخانیکی دوران (فصل ۷۷). سرعت انفیوژن (ESC 2021، جدول ۲۲): </w:t>
      </w:r>
      <w:r>
        <w:rPr>
          <w:rFonts w:ascii="Vazirmatn" w:hAnsi="Vazirmatn"/>
          <w:b/>
        </w:rPr>
        <w:t>Dobutamine ۲–۲۰ µg/kg/min</w:t>
      </w:r>
      <w:r>
        <w:rPr>
          <w:rFonts w:ascii="Vazirmatn" w:hAnsi="Vazirmatn"/>
        </w:rPr>
        <w:t xml:space="preserve">؛ </w:t>
      </w:r>
      <w:r>
        <w:rPr>
          <w:rFonts w:ascii="Vazirmatn" w:hAnsi="Vazirmatn"/>
          <w:b/>
        </w:rPr>
        <w:t>Norepinephrine ۰٫۲–۱٫۰ µg/kg/min</w:t>
      </w:r>
      <w:r>
        <w:rPr>
          <w:rFonts w:ascii="Vazirmatn" w:hAnsi="Vazirmatn"/>
        </w:rPr>
        <w:t xml:space="preserve">؛ </w:t>
      </w:r>
      <w:r>
        <w:rPr>
          <w:rFonts w:ascii="Vazirmatn" w:hAnsi="Vazirmatn"/>
          <w:b/>
        </w:rPr>
        <w:t>Epinephrine ۰٫۰۵–۰٫۵ µg/kg/min</w:t>
      </w:r>
      <w:r>
        <w:rPr>
          <w:rFonts w:ascii="Vazirmatn" w:hAnsi="Vazirmatn"/>
        </w:rPr>
        <w:t xml:space="preserve">؛ Milrinone ۰٫۳۷۵–۰٫۷۵ µg/kg/min؛ Levosimendan ۰٫۱ µg/kg/min (۰٫۰۵–۰٫۲). با دوز کم شروع کن و نزدیک نظارت کن. </w:t>
      </w:r>
      <w:r>
        <w:rPr>
          <w:rFonts w:ascii="Vazirmatn" w:hAnsi="Vazirmatn"/>
          <w:b/>
        </w:rPr>
        <w:t>Opiate به‌طور روتین توصیه نمی‌شود</w:t>
      </w:r>
      <w:r>
        <w:rPr>
          <w:rFonts w:ascii="Vazirmatn" w:hAnsi="Vazirmatn"/>
        </w:rPr>
        <w:t xml:space="preserve"> (ESC 2021، Class III).</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کاهل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 با EF ≥ ۵۰ فیصد و خطر پایین (ESC/EACTS 2025، IIa) — AS بسیار شدید (گرادیان میانه ≥ ۶۰ mmHg یا سرعت &gt; ۵ m/s)، Calcification شدید دریچه با افزایش سرعت ≥ ۰٫۳ m/s در سال، یا BNP بیشتر از سه برابر نورمال بدون علت دیگر</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ESC/EACTS 2025 (توصیهٔ جدید، I): در مریض بی‌علامت کم‌خطر بدون اختلال بطن چپ (LVESD &lt; ۴۰ mm، LVESDi &lt; ۲۰ mm/m²، EF &gt; ۶۰ فیصد) اگر </w:t>
            </w:r>
            <w:r>
              <w:rPr>
                <w:rFonts w:ascii="Vazirmatn" w:hAnsi="Vazirmatn"/>
                <w:b/>
                <w:sz w:val="18"/>
              </w:rPr>
              <w:t>حد اقل سه مورد</w:t>
            </w:r>
            <w:r>
              <w:rPr>
                <w:rFonts w:ascii="Vazirmatn" w:hAnsi="Vazirmatn"/>
                <w:sz w:val="18"/>
              </w:rPr>
              <w:t xml:space="preserve"> از این‌ها باشد، ترمیم جراحی توصیه می‌شود: AF، SPAP استراحت &gt; ۵۰ mmHg، اتساع دهلیز چپ (LAVI ≥ ۶۰ mL/m² یا قطر ≥ ۵۵ mm)، TR ثانوی متوسط یا بیشتر</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ESC/EACTS 2025 (IIb): اگر خطر جراحی پایین است، با LVESDi &gt; ۲۲ mm/m²، LVESVi &gt; ۴۵ mL/m² یا EF استراحت ≤ ۵۵ فیصد هم قابل ملاحظه است؛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 ترمیم دریچه در مراکز باتجربه (IIa)؛ TAVI در AR شدید باعلامت که جراحی برایش مناسب نیست و آناتومی مناسب دارد (IIb، ESC/EACTS 2025)</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کاهل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کاهل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کاهلان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کاهلان،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کاهلان).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کاهلان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(کاهلان)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(کاهلان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(کاهلان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کاهلان.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سن کاهلی برگردد.</w:t>
      </w:r>
    </w:p>
    <w:p>
      <w:pPr>
        <w:ind w:right="340"/>
        <w:bidi w:val="1"/>
      </w:pPr>
      <w:r>
        <w:rPr>
          <w:color w:val="136F73"/>
        </w:rPr>
        <w:t xml:space="preserve">● </w:t>
      </w:r>
      <w:r>
        <w:rPr>
          <w:rFonts w:ascii="Vazirmatn" w:hAnsi="Vazirmatn"/>
          <w:b/>
        </w:rPr>
        <w:t>آسمای سن کاهلی: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کاهل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کاهل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کاهل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کاهلان.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کاهل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کاهلان)؛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کاهل؟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کاهل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کاهلان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کاهلان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(کاهل)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کاهلان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کاهلان؛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کاهل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بدن کاهل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 Gastroenterology &amp; Hepatology، J Hepatol 2025)</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کاهلان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کاهل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کاهلان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 رهنمود AASLD/IDSA 2025 فقط HBV مزمن را پوشش می‌دهد و HBV حاد را بازنگری نکرده):</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کاهلان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sz w:val="18"/>
              </w:rPr>
              <w:t xml:space="preserve">AASLD/IDSA 2025: مرحلهٔ Immune-tolerant → </w:t>
            </w:r>
            <w:r>
              <w:rPr>
                <w:rFonts w:ascii="Vazirmatn" w:hAnsi="Vazirmatn"/>
                <w:b/>
                <w:sz w:val="18"/>
              </w:rPr>
              <w:t>ALT و HBV DNA حد اقل هر ۶ ماه</w:t>
            </w:r>
            <w:r>
              <w:rPr>
                <w:rFonts w:ascii="Vazirmatn" w:hAnsi="Vazirmatn"/>
                <w:sz w:val="18"/>
              </w:rPr>
              <w:t xml:space="preserve">؛ مرحلهٔ نامعین بدون تداوی → </w:t>
            </w:r>
            <w:r>
              <w:rPr>
                <w:rFonts w:ascii="Vazirmatn" w:hAnsi="Vazirmatn"/>
                <w:b/>
                <w:sz w:val="18"/>
              </w:rPr>
              <w:t>هر ۳–۶ ماه در سال اول، بعد هر ۶ ماه</w:t>
            </w:r>
            <w:r>
              <w:rPr>
                <w:rFonts w:ascii="Vazirmatn" w:hAnsi="Vazirmatn"/>
                <w:sz w:val="18"/>
              </w:rPr>
              <w:t xml:space="preserve">؛ پس از قطع تداوی → </w:t>
            </w:r>
            <w:r>
              <w:rPr>
                <w:rFonts w:ascii="Vazirmatn" w:hAnsi="Vazirmatn"/>
                <w:b/>
                <w:sz w:val="18"/>
              </w:rPr>
              <w:t>هر ۱–۳ ماه برای ۶ ماه اول، بعد هر ۳ ماه تا ۶–۱۲ ماه، بعد هر ۳–۶ ماه</w:t>
            </w:r>
            <w:r>
              <w:rPr>
                <w:rFonts w:ascii="Vazirmatn" w:hAnsi="Vazirmatn"/>
                <w:sz w:val="18"/>
              </w:rPr>
              <w:t>. اگر HBV DNA دستیاب نیست، حد اقل ALT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کاهل نه؟ ← </w:t>
      </w:r>
      <w:r>
        <w:rPr>
          <w:rFonts w:ascii="Vazirmatn" w:hAnsi="Vazirmatn"/>
          <w:i/>
        </w:rPr>
        <w:t>سیستم ایمنی نوزاد با ویروس تحمل پیدا می‌کند؛ کاهل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(کاهلان)،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Currentness audit: اصول «Red flags» (SNOOP) و Ottawa SAH rule از منابع بالینی استندرد؛ SAH — AHA/ASA 2023 aneurysmal SAH guideline (Hoh BL et al., Stroke 2023)؛ GCA — EULAR 2018 LVV (متن کامل ard.bmj.com مستقیم خوانده شد، ۲۰۲۶-۰۹-۲۵) و ACR/VF 2021؛ میگرن — American Headache Society 2021 consensus. به جز دوز GCA، منابع دیگر مستقیم خوانده نشدند → ادعاهای عددی دیگر در SD-64.</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p>
    <w:p>
      <w:pPr>
        <w:ind w:right="340"/>
        <w:bidi w:val="1"/>
      </w:pPr>
      <w:r>
        <w:rPr>
          <w:color w:val="136F73"/>
        </w:rPr>
        <w:t xml:space="preserve">● </w:t>
      </w:r>
      <w:r>
        <w:rPr>
          <w:rFonts w:ascii="Vazirmatn" w:hAnsi="Vazirmatn"/>
          <w:b/>
        </w:rPr>
        <w:t>دوز (EULAR 2018 LVV، Hellmich، Ann Rheum Dis 2020):</w:t>
      </w:r>
    </w:p>
    <w:p>
      <w:pPr>
        <w:ind w:right="340"/>
        <w:bidi w:val="1"/>
      </w:pPr>
      <w:r>
        <w:rPr>
          <w:color w:val="136F73"/>
        </w:rPr>
        <w:t xml:space="preserve">● </w:t>
      </w:r>
      <w:r>
        <w:rPr>
          <w:rFonts w:ascii="Vazirmatn" w:hAnsi="Vazirmatn"/>
        </w:rPr>
        <w:t xml:space="preserve">شروع: </w:t>
      </w:r>
      <w:r>
        <w:rPr>
          <w:rFonts w:ascii="Vazirmatn" w:hAnsi="Vazirmatn"/>
          <w:b/>
        </w:rPr>
        <w:t>Prednisolone ۴۰–۶۰ mg در روز</w:t>
      </w:r>
      <w:r>
        <w:rPr>
          <w:rFonts w:ascii="Vazirmatn" w:hAnsi="Vazirmatn"/>
        </w:rPr>
        <w:t xml:space="preserve"> فوراً (دوز بالاتر از ۶۰ mg فایدهٔ ثابت‌شده ندارد)؛</w:t>
      </w:r>
    </w:p>
    <w:p>
      <w:pPr>
        <w:ind w:right="340"/>
        <w:bidi w:val="1"/>
      </w:pPr>
      <w:r>
        <w:rPr>
          <w:color w:val="136F73"/>
        </w:rPr>
        <w:t xml:space="preserve">● </w:t>
      </w:r>
      <w:r>
        <w:rPr>
          <w:rFonts w:ascii="Vazirmatn" w:hAnsi="Vazirmatn"/>
        </w:rPr>
        <w:t xml:space="preserve">با </w:t>
      </w:r>
      <w:r>
        <w:rPr>
          <w:rFonts w:ascii="Vazirmatn" w:hAnsi="Vazirmatn"/>
          <w:b/>
        </w:rPr>
        <w:t>کاهش دید یا Amaurosis fugax:</w:t>
      </w:r>
      <w:r>
        <w:rPr>
          <w:rFonts w:ascii="Vazirmatn" w:hAnsi="Vazirmatn"/>
        </w:rPr>
        <w:t xml:space="preserve"> </w:t>
      </w:r>
      <w:r>
        <w:rPr>
          <w:rFonts w:ascii="Vazirmatn" w:hAnsi="Vazirmatn"/>
          <w:b/>
        </w:rPr>
        <w:t>Methylprednisolone ۰٫۲۵–۱ g وریدی تا ۳ روز</w:t>
      </w:r>
      <w:r>
        <w:rPr>
          <w:rFonts w:ascii="Vazirmatn" w:hAnsi="Vazirmatn"/>
        </w:rPr>
        <w:t xml:space="preserve"> در نظر گرفته شود (شواهد ضعیف)؛ انتظار برای دوز وریدی نباید تداوی فمی را به تأخیر اندازد؛</w:t>
      </w:r>
    </w:p>
    <w:p>
      <w:pPr>
        <w:ind w:right="340"/>
        <w:bidi w:val="1"/>
      </w:pPr>
      <w:r>
        <w:rPr>
          <w:color w:val="136F73"/>
        </w:rPr>
        <w:t xml:space="preserve">● </w:t>
      </w:r>
      <w:r>
        <w:rPr>
          <w:rFonts w:ascii="Vazirmatn" w:hAnsi="Vazirmatn"/>
        </w:rPr>
        <w:t xml:space="preserve">پس از کنترول مرض، کاهش تدریجی تا </w:t>
      </w:r>
      <w:r>
        <w:rPr>
          <w:rFonts w:ascii="Vazirmatn" w:hAnsi="Vazirmatn"/>
          <w:b/>
        </w:rPr>
        <w:t>۱۵–۲۰ mg در روز در ۲–۳ ماه</w:t>
      </w:r>
      <w:r>
        <w:rPr>
          <w:rFonts w:ascii="Vazirmatn" w:hAnsi="Vazirmatn"/>
        </w:rPr>
        <w:t xml:space="preserve">، و پس از </w:t>
      </w:r>
      <w:r>
        <w:rPr>
          <w:rFonts w:ascii="Vazirmatn" w:hAnsi="Vazirmatn"/>
          <w:b/>
        </w:rPr>
        <w:t>۱ سال به ۵ mg یا کمتر</w:t>
      </w:r>
      <w:r>
        <w:rPr>
          <w:rFonts w:ascii="Vazirmatn" w:hAnsi="Vazirmatn"/>
        </w:rPr>
        <w:t>؛ قطع کامل اکثراً حد اقل ۲ سال وقت می‌گیرد؛</w:t>
      </w:r>
    </w:p>
    <w:p>
      <w:pPr>
        <w:ind w:right="340"/>
        <w:bidi w:val="1"/>
      </w:pPr>
      <w:r>
        <w:rPr>
          <w:color w:val="136F73"/>
        </w:rPr>
        <w:t xml:space="preserve">● </w:t>
      </w:r>
      <w:r>
        <w:rPr>
          <w:rFonts w:ascii="Vazirmatn" w:hAnsi="Vazirmatn"/>
        </w:rPr>
        <w:t xml:space="preserve">در GCA مقاوم، عودکننده یا با خطر بلند عوارض Glucocorticoid: </w:t>
      </w:r>
      <w:r>
        <w:rPr>
          <w:rFonts w:ascii="Vazirmatn" w:hAnsi="Vazirmatn"/>
          <w:b/>
        </w:rPr>
        <w:t>Tocilizumab</w:t>
      </w:r>
      <w:r>
        <w:rPr>
          <w:rFonts w:ascii="Vazirmatn" w:hAnsi="Vazirmatn"/>
        </w:rPr>
        <w:t xml:space="preserve"> (بدیل: Methotrexate) — فقط توسط متخصص.</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کاهل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 (دوز Glucocorticoid در GCA و Takayasu مطابق EULAR 2018 LVV همان‌جا آمده: شروع ۴۰–۶۰ mg Prednisolone؛ در Takayasu هدف پس از ۱ سال ۱۰ mg یا کمتر و همیشه همراه یک دوای غیربیولوژیک کم‌کنندهٔ Steroid)</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b/>
        </w:rPr>
        <w:t>دوزها (متن کامل EULAR 2022، ard.bmj.com، ۲۰۲۶-۰۹-۲۵):</w:t>
      </w:r>
      <w:r>
        <w:rPr>
          <w:rFonts w:ascii="Vazirmatn" w:hAnsi="Vazirmatn"/>
        </w:rPr>
        <w:t xml:space="preserve"> Glucocorticoid فمی با دوز شروع </w:t>
      </w:r>
      <w:r>
        <w:rPr>
          <w:rFonts w:ascii="Vazirmatn" w:hAnsi="Vazirmatn"/>
          <w:b/>
        </w:rPr>
        <w:t>۵۰–۷۵ mg Prednisolone در روز مطابق وزن</w:t>
      </w:r>
      <w:r>
        <w:rPr>
          <w:rFonts w:ascii="Vazirmatn" w:hAnsi="Vazirmatn"/>
        </w:rPr>
        <w:t xml:space="preserve">، بعد کاهش مرحله‌وار مطابق رژیم کم‌دوز PEXIVAS تا </w:t>
      </w:r>
      <w:r>
        <w:rPr>
          <w:rFonts w:ascii="Vazirmatn" w:hAnsi="Vazirmatn"/>
          <w:b/>
        </w:rPr>
        <w:t>۵ mg در روز در ماه ۴–۵</w:t>
      </w:r>
      <w:r>
        <w:rPr>
          <w:rFonts w:ascii="Vazirmatn" w:hAnsi="Vazirmatn"/>
        </w:rPr>
        <w:t xml:space="preserve">؛ در مرض بدون تهدید عضو، دوز شروع کمتر (۰٫۵ mg/kg/day) در مریضان منتخب. </w:t>
      </w:r>
      <w:r>
        <w:rPr>
          <w:rFonts w:ascii="Vazirmatn" w:hAnsi="Vazirmatn"/>
          <w:b/>
        </w:rPr>
        <w:t>Rituximab:</w:t>
      </w:r>
      <w:r>
        <w:rPr>
          <w:rFonts w:ascii="Vazirmatn" w:hAnsi="Vazirmatn"/>
        </w:rPr>
        <w:t xml:space="preserve"> یا </w:t>
      </w:r>
      <w:r>
        <w:rPr>
          <w:rFonts w:ascii="Vazirmatn" w:hAnsi="Vazirmatn"/>
          <w:b/>
        </w:rPr>
        <w:t>۳۷۵ mg/m² هفته‌وار برای ۴ هفته</w:t>
      </w:r>
      <w:r>
        <w:rPr>
          <w:rFonts w:ascii="Vazirmatn" w:hAnsi="Vazirmatn"/>
        </w:rPr>
        <w:t xml:space="preserve">، یا </w:t>
      </w:r>
      <w:r>
        <w:rPr>
          <w:rFonts w:ascii="Vazirmatn" w:hAnsi="Vazirmatn"/>
          <w:b/>
        </w:rPr>
        <w:t>۱ g در هفتهٔ ۰ و ۲</w:t>
      </w:r>
      <w:r>
        <w:rPr>
          <w:rFonts w:ascii="Vazirmatn" w:hAnsi="Vazirmatn"/>
        </w:rPr>
        <w:t xml:space="preserve"> (اثر و عوارض مشابه). Rituximab در مرض عودکننده و در مریضی که باروری برایش مهم است بر Cyclophosphamide ترجیح دارد. Plasma exchange فقط در مریضان منتخب با </w:t>
      </w:r>
      <w:r>
        <w:rPr>
          <w:rFonts w:ascii="Vazirmatn" w:hAnsi="Vazirmatn"/>
          <w:b/>
        </w:rPr>
        <w:t>Creatinine بیشتر از ۳۰۰ µmol/L</w:t>
      </w:r>
      <w:r>
        <w:rPr>
          <w:rFonts w:ascii="Vazirmatn" w:hAnsi="Vazirmatn"/>
        </w:rPr>
        <w:t xml:space="preserve"> از Glomerulonephritis فعال. Avacopan پس از ۶–۱۲ ماه قطع شود.</w:t>
      </w:r>
    </w:p>
    <w:p>
      <w:pPr>
        <w:ind w:right="340"/>
        <w:bidi w:val="1"/>
      </w:pPr>
      <w:r>
        <w:rPr>
          <w:color w:val="136F73"/>
        </w:rPr>
        <w:t xml:space="preserve">● </w:t>
      </w:r>
      <w:r>
        <w:rPr>
          <w:rFonts w:ascii="Vazirmatn" w:hAnsi="Vazirmatn"/>
        </w:rPr>
        <w:t>🔒 دوز Cyclophosphamide و جدول کامل کاهش Glucocorticoid (جدول ۴ رهنمود، تصویر) خوانده نشد؛ این تداوی فقط در مرکز متخصص شروع می‌شود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CCB در پایین):</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b/>
        </w:rPr>
        <w:t>مسمومیت Calcium channel blocker در کاهلان</w:t>
      </w:r>
      <w:r>
        <w:rPr>
          <w:rFonts w:ascii="Vazirmatn" w:hAnsi="Vazirmatn"/>
        </w:rPr>
        <w:t xml:space="preserve"> (اجماع متخصصان، St-Onge و همکاران، Crit Care Med 2017):</w:t>
      </w:r>
    </w:p>
    <w:p>
      <w:pPr>
        <w:ind w:right="340"/>
        <w:bidi w:val="1"/>
      </w:pPr>
      <w:r>
        <w:rPr>
          <w:color w:val="136F73"/>
        </w:rPr>
        <w:t xml:space="preserve">● </w:t>
      </w:r>
      <w:r>
        <w:rPr>
          <w:rFonts w:ascii="Vazirmatn" w:hAnsi="Vazirmatn"/>
        </w:rPr>
        <w:t xml:space="preserve">تداوی خط اول (بر اساس اثر مطلوب، تنها یا یکجا): </w:t>
      </w:r>
      <w:r>
        <w:rPr>
          <w:rFonts w:ascii="Vazirmatn" w:hAnsi="Vazirmatn"/>
          <w:b/>
        </w:rPr>
        <w:t>Calcium وریدی</w:t>
      </w:r>
      <w:r>
        <w:rPr>
          <w:rFonts w:ascii="Vazirmatn" w:hAnsi="Vazirmatn"/>
        </w:rPr>
        <w:t xml:space="preserve"> — Calcium chloride ۱۰٪: </w:t>
      </w:r>
      <w:r>
        <w:rPr>
          <w:rFonts w:ascii="Vazirmatn" w:hAnsi="Vazirmatn"/>
          <w:b/>
        </w:rPr>
        <w:t>۱۰–۲۰ mL (۱–۲ g) هر ۱۰–۲۰ دقیقه</w:t>
      </w:r>
      <w:r>
        <w:rPr>
          <w:rFonts w:ascii="Vazirmatn" w:hAnsi="Vazirmatn"/>
        </w:rPr>
        <w:t xml:space="preserve"> یا انفیوژن ۰٫۲–۰٫۴ mL/kg/hr؛ یا Calcium gluconate ۱۰٪: </w:t>
      </w:r>
      <w:r>
        <w:rPr>
          <w:rFonts w:ascii="Vazirmatn" w:hAnsi="Vazirmatn"/>
          <w:b/>
        </w:rPr>
        <w:t>۳۰–۶۰ mL (۳–۶ g) هر ۱۰–۲۰ دقیقه</w:t>
      </w:r>
      <w:r>
        <w:rPr>
          <w:rFonts w:ascii="Vazirmatn" w:hAnsi="Vazirmatn"/>
        </w:rPr>
        <w:t xml:space="preserve"> یا انفیوژن ۰٫۶–۱٫۲ mL/kg/hr؛ </w:t>
      </w:r>
      <w:r>
        <w:rPr>
          <w:rFonts w:ascii="Vazirmatn" w:hAnsi="Vazirmatn"/>
          <w:b/>
        </w:rPr>
        <w:t>Norepinephrine</w:t>
      </w:r>
      <w:r>
        <w:rPr>
          <w:rFonts w:ascii="Vazirmatn" w:hAnsi="Vazirmatn"/>
        </w:rPr>
        <w:t xml:space="preserve"> و/یا </w:t>
      </w:r>
      <w:r>
        <w:rPr>
          <w:rFonts w:ascii="Vazirmatn" w:hAnsi="Vazirmatn"/>
          <w:b/>
        </w:rPr>
        <w:t>Epinephrine</w:t>
      </w:r>
      <w:r>
        <w:rPr>
          <w:rFonts w:ascii="Vazirmatn" w:hAnsi="Vazirmatn"/>
        </w:rPr>
        <w:t xml:space="preserve"> در شوک؛ </w:t>
      </w:r>
      <w:r>
        <w:rPr>
          <w:rFonts w:ascii="Vazirmatn" w:hAnsi="Vazirmatn"/>
          <w:b/>
        </w:rPr>
        <w:t>Atropine ۰٫۵ mg هر ۳–۵ دقیقه</w:t>
      </w:r>
      <w:r>
        <w:rPr>
          <w:rFonts w:ascii="Vazirmatn" w:hAnsi="Vazirmatn"/>
        </w:rPr>
        <w:t xml:space="preserve"> برای Bradycardia علامه‌دار (چند دوز)؛</w:t>
      </w:r>
    </w:p>
    <w:p>
      <w:pPr>
        <w:ind w:right="340"/>
        <w:bidi w:val="1"/>
      </w:pPr>
      <w:r>
        <w:rPr>
          <w:color w:val="136F73"/>
        </w:rPr>
        <w:t xml:space="preserve">● </w:t>
      </w:r>
      <w:r>
        <w:rPr>
          <w:rFonts w:ascii="Vazirmatn" w:hAnsi="Vazirmatn"/>
          <w:b/>
        </w:rPr>
        <w:t>Insulin با دوز بلند (Regular):</w:t>
      </w:r>
      <w:r>
        <w:rPr>
          <w:rFonts w:ascii="Vazirmatn" w:hAnsi="Vazirmatn"/>
        </w:rPr>
        <w:t xml:space="preserve"> بولوس </w:t>
      </w:r>
      <w:r>
        <w:rPr>
          <w:rFonts w:ascii="Vazirmatn" w:hAnsi="Vazirmatn"/>
          <w:b/>
        </w:rPr>
        <w:t>۱ واحد/kg</w:t>
      </w:r>
      <w:r>
        <w:rPr>
          <w:rFonts w:ascii="Vazirmatn" w:hAnsi="Vazirmatn"/>
        </w:rPr>
        <w:t xml:space="preserve"> و بعد انفیوژن </w:t>
      </w:r>
      <w:r>
        <w:rPr>
          <w:rFonts w:ascii="Vazirmatn" w:hAnsi="Vazirmatn"/>
          <w:b/>
        </w:rPr>
        <w:t>۱ واحد/kg/hr</w:t>
      </w:r>
      <w:r>
        <w:rPr>
          <w:rFonts w:ascii="Vazirmatn" w:hAnsi="Vazirmatn"/>
        </w:rPr>
        <w:t xml:space="preserve">؛ با Dextrose قند را نورمال نگهدار و پوتاشیم را نزدیک نظارت کن. بلند کردن تا </w:t>
      </w:r>
      <w:r>
        <w:rPr>
          <w:rFonts w:ascii="Vazirmatn" w:hAnsi="Vazirmatn"/>
          <w:b/>
        </w:rPr>
        <w:t>۱۰ واحد/kg/hr</w:t>
      </w:r>
      <w:r>
        <w:rPr>
          <w:rFonts w:ascii="Vazirmatn" w:hAnsi="Vazirmatn"/>
        </w:rPr>
        <w:t xml:space="preserve"> فقط در مریض مقاوم به تداوی خط اول (شواهد فقط Case series)؛</w:t>
      </w:r>
    </w:p>
    <w:p>
      <w:pPr>
        <w:ind w:right="340"/>
        <w:bidi w:val="1"/>
      </w:pPr>
      <w:r>
        <w:rPr>
          <w:color w:val="136F73"/>
        </w:rPr>
        <w:t xml:space="preserve">● </w:t>
      </w:r>
      <w:r>
        <w:rPr>
          <w:rFonts w:ascii="Vazirmatn" w:hAnsi="Vazirmatn"/>
        </w:rPr>
        <w:t>Dopamine توصیه نمی‌شود؛ Vasopressin به تنهایی در شوک کاردیوژنیک نه؛</w:t>
      </w:r>
    </w:p>
    <w:p>
      <w:pPr>
        <w:ind w:right="340"/>
        <w:bidi w:val="1"/>
      </w:pPr>
      <w:r>
        <w:rPr>
          <w:color w:val="136F73"/>
        </w:rPr>
        <w:t xml:space="preserve">● </w:t>
      </w:r>
      <w:r>
        <w:rPr>
          <w:rFonts w:ascii="Vazirmatn" w:hAnsi="Vazirmatn"/>
        </w:rPr>
        <w:t>مقاوم: Pacing (اول از راه جلد)، Lipid emulsion؛ شوک مقاوم یا نزدیک ایست قلبی: VA-ECMO اگر دستیاب است؛</w:t>
      </w:r>
    </w:p>
    <w:p>
      <w:pPr>
        <w:ind w:right="340"/>
        <w:bidi w:val="1"/>
      </w:pPr>
      <w:r>
        <w:rPr>
          <w:color w:val="136F73"/>
        </w:rPr>
        <w:t xml:space="preserve">● </w:t>
      </w:r>
      <w:r>
        <w:rPr>
          <w:rFonts w:ascii="Vazirmatn" w:hAnsi="Vazirmatn"/>
          <w:b/>
        </w:rPr>
        <w:t>Glucagon در این اجماع برای CCB توصیه نشده است.</w:t>
      </w:r>
    </w:p>
    <w:p>
      <w:pPr>
        <w:bidi w:val="1"/>
      </w:pPr>
      <w:r>
        <w:rPr>
          <w:rFonts w:ascii="Vazirmatn" w:hAnsi="Vazirmatn"/>
        </w:rPr>
        <w:t xml:space="preserve">🔒 دوز عددی Glucagon و Insulin در مسمومیت </w:t>
      </w:r>
      <w:r>
        <w:rPr>
          <w:rFonts w:ascii="Vazirmatn" w:hAnsi="Vazirmatn"/>
          <w:b/>
        </w:rPr>
        <w:t>Beta-blocker</w:t>
      </w:r>
      <w:r>
        <w:rPr>
          <w:rFonts w:ascii="Vazirmatn" w:hAnsi="Vazirmatn"/>
        </w:rPr>
        <w:t xml:space="preserve"> از منبع اولیه تأیید نشد (جدول AHA 2023 تصویر است)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شدند.\n- 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