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ریه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ریه،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ریه)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ریه،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ریه؛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حداکثر ۲۰ mcg/min</w:t>
            </w:r>
            <w:r>
              <w:rPr>
                <w:rFonts w:ascii="Vazirmatn" w:hAnsi="Vazirmatn"/>
                <w:sz w:val="18"/>
              </w:rPr>
              <w:t xml:space="preserve"> در این جدول (دوز Nitroglycerin در ادیمای حاد ریه ناشی از عدم کفایهٔ قلب → فصل ۷)</w:t>
            </w:r>
          </w:p>
        </w:tc>
        <w:tc>
          <w:tcPr>
            <w:tcW w:type="dxa" w:w="2578"/>
          </w:tcPr>
          <w:p>
            <w:pPr>
              <w:bidi w:val="1"/>
            </w:pPr>
            <w:r>
              <w:rPr>
                <w:sz w:val="18"/>
              </w:rPr>
            </w:r>
            <w:r>
              <w:rPr>
                <w:rFonts w:ascii="Vazirmatn" w:hAnsi="Vazirmatn"/>
                <w:sz w:val="18"/>
              </w:rPr>
              <w:t>فقط در ACS یا ادیمای حاد ریه؛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ریه)</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ریه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ریهٔ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ریهٔ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۲۵–۵۰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سرفه ساخت</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ریتم سینوسی و ضربان ۷۰ یا بیشتر، با وجود Beta-blocker</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ریه</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(حداکثر ۱۰۰ mg برای دو دوز اول)؛ سن ۷۵ یا بیشتر — بدون bolus، ۰.۷۵ mg/kg SC هر ۱۲ ساعت (حداکثر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داخل مغز یا سکتهٔ مغزی با سبب نامعلوم در هر زمان</w:t>
      </w:r>
    </w:p>
    <w:p>
      <w:pPr>
        <w:ind w:right="340"/>
        <w:bidi w:val="1"/>
      </w:pPr>
      <w:r>
        <w:rPr>
          <w:color w:val="136F73"/>
        </w:rPr>
        <w:t xml:space="preserve">● </w:t>
      </w:r>
      <w:r>
        <w:rPr>
          <w:rFonts w:ascii="Vazirmatn" w:hAnsi="Vazirmatn"/>
        </w:rPr>
        <w:t>سکتهٔ مغزی ایسکیمیک در ۶ ماه گذشته</w:t>
      </w:r>
    </w:p>
    <w:p>
      <w:pPr>
        <w:ind w:right="340"/>
        <w:bidi w:val="1"/>
      </w:pPr>
      <w:r>
        <w:rPr>
          <w:color w:val="136F73"/>
        </w:rPr>
        <w:t xml:space="preserve">● </w:t>
      </w:r>
      <w:r>
        <w:rPr>
          <w:rFonts w:ascii="Vazirmatn" w:hAnsi="Vazirmatn"/>
        </w:rPr>
        <w:t>شک به دایسکشن اورت</w:t>
      </w:r>
    </w:p>
    <w:p>
      <w:pPr>
        <w:ind w:right="340"/>
        <w:bidi w:val="1"/>
      </w:pPr>
      <w:r>
        <w:rPr>
          <w:color w:val="136F73"/>
        </w:rPr>
        <w:t xml:space="preserve">● </w:t>
      </w:r>
      <w:r>
        <w:rPr>
          <w:rFonts w:ascii="Vazirmatn" w:hAnsi="Vazirmatn"/>
        </w:rPr>
        <w:t>خونریزی فعال (به جز حیض) یا مرض معلوم خونریزی‌دهنده</w:t>
      </w:r>
    </w:p>
    <w:p>
      <w:pPr>
        <w:ind w:right="340"/>
        <w:bidi w:val="1"/>
      </w:pPr>
      <w:r>
        <w:rPr>
          <w:color w:val="136F73"/>
        </w:rPr>
        <w:t xml:space="preserve">● </w:t>
      </w:r>
      <w:r>
        <w:rPr>
          <w:rFonts w:ascii="Vazirmatn" w:hAnsi="Vazirmatn"/>
        </w:rPr>
        <w:t>ترضیض شدید، عملیات بزرگ یا ضربهٔ سر در یک ماه گذشته؛ خونریزی GI در یک ماه گذشته</w:t>
      </w:r>
    </w:p>
    <w:p>
      <w:pPr>
        <w:ind w:right="340"/>
        <w:bidi w:val="1"/>
      </w:pPr>
      <w:r>
        <w:rPr>
          <w:color w:val="136F73"/>
        </w:rPr>
        <w:t xml:space="preserve">● </w:t>
      </w:r>
      <w:r>
        <w:rPr>
          <w:rFonts w:ascii="Vazirmatn" w:hAnsi="Vazirmatn"/>
        </w:rPr>
        <w:t>تومور، AVM یا آسیب ساختمانی دیگر سیستم عصبی مرکزی</w:t>
      </w:r>
    </w:p>
    <w:p>
      <w:pPr>
        <w:ind w:right="340"/>
        <w:bidi w:val="1"/>
      </w:pPr>
      <w:r>
        <w:rPr>
          <w:color w:val="136F73"/>
        </w:rPr>
        <w:t xml:space="preserve">● </w:t>
      </w:r>
      <w:r>
        <w:rPr>
          <w:rFonts w:ascii="Vazirmatn" w:hAnsi="Vazirmatn"/>
        </w:rPr>
        <w:t>سوراخ کردن ناحیهٔ غیرقابل فشار (مثلاً Biopsy کبد، Lumbar puncture) در ۲۴ ساعت گذشته</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ریهٔ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۶ ماه گذشته،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تاکی‌کاردی/برادیکاردی از ERC/RCUK 2021 نقل شده؛ ERC و AHA در 2025 رهنمود تازهٔ احیا نشر کردند (جایگاه اصلی: فصل ۷۷) — دوزهای الگوریتم این فصل با 2025 خط به خط مطابقت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حداکثر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w:t>
      </w:r>
      <w:r>
        <w:rPr>
          <w:rFonts w:ascii="Vazirmatn" w:hAnsi="Vazirmatn"/>
          <w:b/>
        </w:rPr>
        <w:t>Glucagon</w:t>
      </w:r>
      <w:r>
        <w:rPr>
          <w:rFonts w:ascii="Vazirmatn" w:hAnsi="Vazirmatn"/>
        </w:rPr>
        <w:t xml:space="preserve"> در نظر گرفته شود (دوز در این کتاب تأیید نشده؛ با متخصص یا مرکز سموم — SD-100).</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از ERC 2021؛ دوز Amiodarone با ERC 2025 یکی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ریه،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(حداکثر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حداکثر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بستری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مکروفاژها آن را می‌بلعند ← باسیل در داخل مکروفاژ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ریه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ریه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ریه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ریه</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ریه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ریه</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ریهٔ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ریه:</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ریهٔ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ریه،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چک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تابلیت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ریه،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ریه،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حداکثر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الکول مزمن، (فصل ۸۷)،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و متن 2019؛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باقی‌مانده: جملهٔ WMS دربارهٔ Antipyretic و جزئیات Frostbite → SD-73.</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(ERC 2025 همین را برای Hyperthermia ناشی از توکسین صریح می‌گوید؛ جملهٔ رسمی WMS دربارهٔ گرمازدگی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اریتمی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 (فصل ۸۶).</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