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0B2D42"/>
            <w:tcBorders>
              <w:top w:val="single" w:sz="4" w:color="0B2D42"/>
              <w:left w:val="single" w:sz="4" w:color="0B2D42"/>
              <w:bottom w:val="single" w:sz="4" w:color="0B2D42"/>
              <w:right w:val="single" w:sz="4" w:color="0B2D42"/>
            </w:tcBorders>
          </w:tcPr>
          <w:p/>
          <w:p>
            <w:pPr>
              <w:pStyle w:val="Head"/>
              <w:jc w:val="center"/>
            </w:pPr>
            <w:r>
              <w:t>ALLAH YAR FROTAN</w:t>
            </w:r>
          </w:p>
          <w:p>
            <w:pPr>
              <w:pStyle w:val="Sub"/>
              <w:jc w:val="center"/>
            </w:pPr>
            <w:r>
              <w:t>Medical Doctor | Health &amp; Nutrition Program Coordination</w:t>
            </w:r>
          </w:p>
          <w:p>
            <w:pPr>
              <w:pStyle w:val="Sub"/>
              <w:jc w:val="center"/>
            </w:pPr>
            <w:r>
              <w:t>Kabul, Afghanistan | +93766462006 | alfrotan@gmail.com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F5F8FA"/>
            <w:tcBorders>
              <w:top w:val="single" w:sz="4" w:color="DDE8EE"/>
              <w:left w:val="single" w:sz="4" w:color="DDE8EE"/>
              <w:bottom w:val="single" w:sz="4" w:color="DDE8EE"/>
              <w:right w:val="single" w:sz="4" w:color="DDE8EE"/>
            </w:tcBorders>
          </w:tcPr>
          <w:p>
            <w:pPr>
              <w:jc w:val="center"/>
            </w:pPr>
            <w:r>
              <w:rPr>
                <w:b/>
                <w:color w:val="0F766E"/>
              </w:rPr>
              <w:t xml:space="preserve">TARGET ROLE  </w:t>
            </w:r>
            <w:r>
              <w:rPr>
                <w:b/>
                <w:color w:val="0B2D42"/>
              </w:rPr>
              <w:t>Medical Officer — FMIC/HR/571 | French Medical Institute for Mothers and Children (FMIC), Kabul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F3F8FA"/>
            <w:tcBorders>
              <w:top w:val="single" w:sz="4" w:color="F3F8FA"/>
              <w:left w:val="single" w:sz="4" w:color="F3F8FA"/>
              <w:bottom w:val="single" w:sz="4" w:color="F3F8FA"/>
              <w:right w:val="single" w:sz="4" w:color="F3F8FA"/>
            </w:tcBorders>
          </w:tcPr>
          <w:p/>
          <w:p>
            <w:pPr>
              <w:pStyle w:val="Sec"/>
            </w:pPr>
            <w:r>
              <w:t>CLINICAL &amp; PROFESSIONAL STRENGTHS</w:t>
            </w:r>
          </w:p>
          <w:p>
            <w:pPr>
              <w:pStyle w:val="Body"/>
              <w:ind w:left="202" w:hanging="144"/>
            </w:pPr>
            <w:r>
              <w:t>• Clinical Assessment &amp; Diagnosis</w:t>
            </w:r>
          </w:p>
          <w:p>
            <w:pPr>
              <w:pStyle w:val="Body"/>
              <w:ind w:left="202" w:hanging="144"/>
            </w:pPr>
            <w:r>
              <w:t>• Diagnosis &amp; Treatment</w:t>
            </w:r>
          </w:p>
          <w:p>
            <w:pPr>
              <w:pStyle w:val="Body"/>
              <w:ind w:left="202" w:hanging="144"/>
            </w:pPr>
            <w:r>
              <w:t>• SAM / Inpatient Nutrition Care</w:t>
            </w:r>
          </w:p>
          <w:p>
            <w:pPr>
              <w:pStyle w:val="Body"/>
              <w:ind w:left="202" w:hanging="144"/>
            </w:pPr>
            <w:r>
              <w:t>• Infection Prevention &amp; Control</w:t>
            </w:r>
          </w:p>
          <w:p>
            <w:pPr>
              <w:pStyle w:val="Body"/>
              <w:ind w:left="202" w:hanging="144"/>
            </w:pPr>
            <w:r>
              <w:t>• HMIS / Health Data Quality</w:t>
            </w:r>
          </w:p>
          <w:p>
            <w:pPr>
              <w:pStyle w:val="Body"/>
              <w:ind w:left="202" w:hanging="144"/>
            </w:pPr>
            <w:r>
              <w:t>• Health &amp; Nutrition Supervision</w:t>
            </w:r>
          </w:p>
          <w:p>
            <w:pPr>
              <w:pStyle w:val="Body"/>
              <w:ind w:left="202" w:hanging="144"/>
            </w:pPr>
            <w:r>
              <w:t>• Emergency &amp; Outbreak Response</w:t>
            </w:r>
          </w:p>
          <w:p>
            <w:pPr>
              <w:pStyle w:val="Body"/>
              <w:ind w:left="202" w:hanging="144"/>
            </w:pPr>
            <w:r>
              <w:t>• Stakeholder Coordination</w:t>
            </w:r>
          </w:p>
          <w:p>
            <w:pPr>
              <w:pStyle w:val="Sec"/>
            </w:pPr>
            <w:r>
              <w:t>VERIFIED MEDICAL BASIS</w:t>
            </w:r>
          </w:p>
          <w:p>
            <w:pPr>
              <w:pStyle w:val="Body"/>
              <w:ind w:left="202" w:hanging="144"/>
            </w:pPr>
            <w:r>
              <w:t>• MD, Curative Medicine</w:t>
            </w:r>
          </w:p>
          <w:p>
            <w:pPr>
              <w:pStyle w:val="Body"/>
              <w:ind w:left="202" w:hanging="144"/>
            </w:pPr>
            <w:r>
              <w:t>• Medical registration/license</w:t>
            </w:r>
          </w:p>
          <w:p>
            <w:pPr>
              <w:pStyle w:val="Body"/>
              <w:ind w:left="202" w:hanging="144"/>
            </w:pPr>
            <w:r>
              <w:t>• Medical Exit Exam completed</w:t>
            </w:r>
          </w:p>
        </w:tc>
        <w:tc>
          <w:tcPr>
            <w:tcW w:type="dxa" w:w="542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/>
          <w:p>
            <w:pPr>
              <w:pStyle w:val="Sec"/>
            </w:pPr>
            <w:r>
              <w:t>PROFESSIONAL PROFILE</w:t>
            </w:r>
          </w:p>
          <w:p>
            <w:pPr>
              <w:pStyle w:val="Body"/>
            </w:pPr>
            <w:r>
              <w:t>Medical Doctor with verified MD education, medical professional registration/license, and completed Medical Exit Exam. Verified experience includes SAM clinical care in a Therapeutic Feeding Unit, supervision of mobile health and nutrition teams, HMIS/DHIS2 data quality, infection prevention training, and coordination with Ministry of Public Health and partner stakeholders. Native Dari/Persian speaker with fluent English and intermediate Pashto.</w:t>
            </w:r>
          </w:p>
          <w:p>
            <w:pPr>
              <w:pStyle w:val="Sec"/>
            </w:pPr>
            <w:r>
              <w:t>PROFESSIONAL EXPERIENCE</w:t>
            </w:r>
          </w:p>
          <w:p>
            <w:pPr>
              <w:pStyle w:val="Meta"/>
            </w:pPr>
            <w:r>
              <w:rPr>
                <w:b/>
              </w:rPr>
              <w:t>Action Against Hunger (ACF-International)</w:t>
            </w:r>
          </w:p>
          <w:p>
            <w:pPr>
              <w:pStyle w:val="Role"/>
            </w:pPr>
            <w:r>
              <w:t>TFU Medical Doctor &amp; Safeguarding Focal Point</w:t>
            </w:r>
          </w:p>
          <w:p>
            <w:pPr>
              <w:pStyle w:val="Meta"/>
            </w:pPr>
            <w:r>
              <w:t>Sang-e-Takht TFU, Daikundi | May 2023 – Jul 2025</w:t>
            </w:r>
          </w:p>
          <w:p>
            <w:pPr>
              <w:pStyle w:val="Body"/>
              <w:ind w:left="202" w:hanging="144"/>
            </w:pPr>
            <w:r>
              <w:t>• Delivered clinical assessment, diagnosis, treatment, and follow-up care for children with SAM using WHO, IMAM/CMAM, and national clinical protocols.</w:t>
            </w:r>
          </w:p>
          <w:p>
            <w:pPr>
              <w:pStyle w:val="Body"/>
              <w:ind w:left="202" w:hanging="144"/>
            </w:pPr>
            <w:r>
              <w:t>• Maintained accurate HMIS records and supported data quality while serving as Safeguarding Focal Point for PSEA and child protection.</w:t>
            </w:r>
          </w:p>
          <w:p>
            <w:pPr>
              <w:pStyle w:val="Meta"/>
            </w:pPr>
            <w:r>
              <w:rPr>
                <w:b/>
              </w:rPr>
              <w:t>Action Against Hunger (ACF-International)</w:t>
            </w:r>
          </w:p>
          <w:p>
            <w:pPr>
              <w:pStyle w:val="Role"/>
            </w:pPr>
            <w:r>
              <w:t>Health and Nutrition Supervisor</w:t>
            </w:r>
          </w:p>
          <w:p>
            <w:pPr>
              <w:pStyle w:val="Meta"/>
            </w:pPr>
            <w:r>
              <w:t>Gizab &amp; Sang-e-Takht, Daikundi | Feb 2022 – Dec 2022</w:t>
            </w:r>
          </w:p>
          <w:p>
            <w:pPr>
              <w:pStyle w:val="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Body"/>
              <w:ind w:left="202" w:hanging="144"/>
            </w:pPr>
            <w:r>
              <w:t>• Supported field health and nutrition service delivery with verified IMAM/CMAM program knowledge.</w:t>
            </w:r>
          </w:p>
          <w:p>
            <w:pPr>
              <w:pStyle w:val="Meta"/>
            </w:pPr>
            <w:r>
              <w:rPr>
                <w:b/>
              </w:rPr>
              <w:t>Daikundi Provincial Public Health Directorate</w:t>
            </w:r>
          </w:p>
          <w:p>
            <w:pPr>
              <w:pStyle w:val="Role"/>
            </w:pPr>
            <w:r>
              <w:t>Medical Doctor / COVID-19 Rapid Response Team Leader</w:t>
            </w:r>
          </w:p>
          <w:p>
            <w:pPr>
              <w:pStyle w:val="Meta"/>
            </w:pPr>
            <w:r>
              <w:t>Daikundi, Afghanistan | Oct 2020 – Dec 2020</w:t>
            </w:r>
          </w:p>
          <w:p>
            <w:pPr>
              <w:pStyle w:val="Body"/>
              <w:ind w:left="202" w:hanging="144"/>
            </w:pPr>
            <w:r>
              <w:t>• Coordinated with Ministry of Public Health representatives, provincial health authorities, and partner organizations during the COVID-19 emergency response.</w:t>
            </w:r>
          </w:p>
          <w:p>
            <w:pPr>
              <w:pStyle w:val="Sec"/>
            </w:pPr>
            <w:r>
              <w:t>FMIC APPLICATION FOCUS</w:t>
            </w:r>
          </w:p>
          <w:p>
            <w:pPr>
              <w:pStyle w:val="Body"/>
            </w:pPr>
            <w:r>
              <w:t>Tailored to Medical Officer vacancy FMIC/HR/571 using verified clinical, infection-prevention, HMIS, and health-program coordination evidence only.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0B2D42"/>
            <w:tcBorders>
              <w:top w:val="single" w:sz="4" w:color="0B2D42"/>
              <w:left w:val="single" w:sz="4" w:color="0B2D42"/>
              <w:bottom w:val="single" w:sz="4" w:color="0B2D42"/>
              <w:right w:val="single" w:sz="4" w:color="0B2D42"/>
            </w:tcBorders>
          </w:tcPr>
          <w:p>
            <w:r>
              <w:rPr>
                <w:b/>
                <w:color w:val="FFFFFF"/>
              </w:rPr>
              <w:t>ALLAH YAR FROTAN</w:t>
            </w:r>
          </w:p>
        </w:tc>
        <w:tc>
          <w:tcPr>
            <w:tcW w:type="dxa" w:w="5429"/>
            <w:shd w:fill="0B2D42"/>
            <w:tcBorders>
              <w:top w:val="single" w:sz="4" w:color="0B2D42"/>
              <w:left w:val="single" w:sz="4" w:color="0B2D42"/>
              <w:bottom w:val="single" w:sz="4" w:color="0B2D42"/>
              <w:right w:val="single" w:sz="4" w:color="0B2D42"/>
            </w:tcBorders>
          </w:tcPr>
          <w:p>
            <w:pPr>
              <w:jc w:val="right"/>
            </w:pPr>
            <w:r>
              <w:rPr>
                <w:color w:val="D8E9EF"/>
              </w:rPr>
              <w:t>Medical Officer — FMIC/HR/571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F3F8FA"/>
            <w:tcBorders>
              <w:top w:val="single" w:sz="4" w:color="F3F8FA"/>
              <w:left w:val="single" w:sz="4" w:color="F3F8FA"/>
              <w:bottom w:val="single" w:sz="4" w:color="F3F8FA"/>
              <w:right w:val="single" w:sz="4" w:color="F3F8FA"/>
            </w:tcBorders>
          </w:tcPr>
          <w:p/>
          <w:p>
            <w:pPr>
              <w:pStyle w:val="Sec"/>
            </w:pPr>
            <w:r>
              <w:t>EDUCATION &amp; CREDENTIALS</w:t>
            </w:r>
          </w:p>
          <w:p>
            <w:pPr>
              <w:pStyle w:val="Body"/>
            </w:pPr>
            <w:r>
              <w:t>EDUCATION</w:t>
              <w:br/>
              <w:t>MD, Curative Medicine</w:t>
              <w:br/>
              <w:t>Kabul Medical Science University | 2013–2020</w:t>
            </w:r>
          </w:p>
          <w:p>
            <w:pPr>
              <w:pStyle w:val="Body"/>
            </w:pPr>
            <w:r>
              <w:t>PROFESSIONAL REGISTRATION</w:t>
              <w:br/>
              <w:t>Verified medical professional registration/license</w:t>
            </w:r>
          </w:p>
          <w:p>
            <w:pPr>
              <w:pStyle w:val="Body"/>
            </w:pPr>
            <w:r>
              <w:t>MEDICAL EXIT EXAM</w:t>
              <w:br/>
              <w:t>Completed Medical Exit Exam</w:t>
            </w:r>
          </w:p>
          <w:p>
            <w:pPr>
              <w:pStyle w:val="Sec"/>
            </w:pPr>
            <w:r>
              <w:t>LANGUAGES</w:t>
            </w:r>
          </w:p>
          <w:p>
            <w:pPr>
              <w:pStyle w:val="Body"/>
              <w:ind w:left="202" w:hanging="144"/>
            </w:pPr>
            <w:r>
              <w:t>• Dari/Persian — Native</w:t>
            </w:r>
          </w:p>
          <w:p>
            <w:pPr>
              <w:pStyle w:val="Body"/>
              <w:ind w:left="202" w:hanging="144"/>
            </w:pPr>
            <w:r>
              <w:t>• English — Fluent</w:t>
            </w:r>
          </w:p>
          <w:p>
            <w:pPr>
              <w:pStyle w:val="Body"/>
              <w:ind w:left="202" w:hanging="144"/>
            </w:pPr>
            <w:r>
              <w:t>• Pashto — Intermediate</w:t>
            </w:r>
          </w:p>
        </w:tc>
        <w:tc>
          <w:tcPr>
            <w:tcW w:type="dxa" w:w="542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/>
          <w:p>
            <w:pPr>
              <w:pStyle w:val="Sec"/>
            </w:pPr>
            <w:r>
              <w:t>PROFESSIONAL EXPERIENCE CONTINUED</w:t>
            </w:r>
          </w:p>
          <w:p>
            <w:pPr>
              <w:pStyle w:val="Meta"/>
            </w:pPr>
            <w:r>
              <w:rPr>
                <w:b/>
              </w:rPr>
              <w:t>Daikundi Governor's Office</w:t>
            </w:r>
          </w:p>
          <w:p>
            <w:pPr>
              <w:pStyle w:val="Role"/>
            </w:pPr>
            <w:r>
              <w:t>Public Relations &amp; Communications Advisor</w:t>
            </w:r>
          </w:p>
          <w:p>
            <w:pPr>
              <w:pStyle w:val="Meta"/>
            </w:pPr>
            <w:r>
              <w:t>Daikundi, Afghanistan | Dec 2020 – Aug 2021</w:t>
            </w:r>
          </w:p>
          <w:p>
            <w:pPr>
              <w:pStyle w:val="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Meta"/>
            </w:pPr>
            <w:r>
              <w:rPr>
                <w:b/>
              </w:rPr>
              <w:t>Trend for a Better Tomorrow (TBT) – NGO</w:t>
            </w:r>
          </w:p>
          <w:p>
            <w:pPr>
              <w:pStyle w:val="Role"/>
            </w:pPr>
            <w:r>
              <w:t>Administrative and Finance Officer</w:t>
            </w:r>
          </w:p>
          <w:p>
            <w:pPr>
              <w:pStyle w:val="Meta"/>
            </w:pPr>
            <w:r>
              <w:t>Afghanistan | May 2019 – Sep 2019</w:t>
            </w:r>
          </w:p>
          <w:p>
            <w:pPr>
              <w:pStyle w:val="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Sec"/>
            </w:pPr>
            <w:r>
              <w:t>CERTIFICATIONS &amp; TRAINING</w:t>
            </w:r>
          </w:p>
          <w:p>
            <w:pPr>
              <w:pStyle w:val="Body"/>
              <w:ind w:left="202" w:hanging="144"/>
            </w:pPr>
            <w:r>
              <w:t>• Safeguarding &amp; PSEA — ACF (2024)</w:t>
            </w:r>
          </w:p>
          <w:p>
            <w:pPr>
              <w:pStyle w:val="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Sec"/>
            </w:pPr>
            <w:r>
              <w:t>VERIFIED EVIDENCE SNAPSHOT</w:t>
            </w:r>
          </w:p>
          <w:p>
            <w:pPr>
              <w:pStyle w:val="Body"/>
              <w:ind w:left="202" w:hanging="144"/>
            </w:pPr>
            <w:r>
              <w:t>• TFU clinical assessment, diagnosis, treatment, and follow-up care for children with SAM.</w:t>
            </w:r>
          </w:p>
          <w:p>
            <w:pPr>
              <w:pStyle w:val="Body"/>
              <w:ind w:left="202" w:hanging="144"/>
            </w:pPr>
            <w:r>
              <w:t>• Mobile health and nutrition team supervision in community-based BPHS/EPHS-related services.</w:t>
            </w:r>
          </w:p>
          <w:p>
            <w:pPr>
              <w:pStyle w:val="Body"/>
              <w:ind w:left="202" w:hanging="144"/>
            </w:pPr>
            <w:r>
              <w:t>• HMIS records, DHIS2/HMIS data quality, and health reporting training.</w:t>
            </w:r>
          </w:p>
          <w:p>
            <w:pPr>
              <w:pStyle w:val="Body"/>
              <w:ind w:left="202" w:hanging="144"/>
            </w:pPr>
            <w:r>
              <w:t>• MoPH, provincial health authority, NGO, community, and development-partner coordination.</w:t>
            </w:r>
          </w:p>
          <w:p>
            <w:pPr>
              <w:pStyle w:val="Sec"/>
            </w:pPr>
            <w:r>
              <w:t>DOCUMENT SCOPE</w:t>
            </w:r>
          </w:p>
          <w:p>
            <w:pPr>
              <w:pStyle w:val="Body"/>
            </w:pPr>
            <w:r>
              <w:t>Prepared for FMIC/HR/571 using verified profile evidence only.</w:t>
            </w:r>
          </w:p>
        </w:tc>
      </w:tr>
    </w:tbl>
    <w:sectPr w:rsidR="00FC693F" w:rsidRPr="0006063C" w:rsidSect="00034616">
      <w:pgSz w:w="12240" w:h="15840"/>
      <w:pgMar w:top="605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">
    <w:name w:val="Head"/>
    <w:pPr>
      <w:spacing w:after="40"/>
    </w:pPr>
    <w:rPr>
      <w:rFonts w:ascii="Aptos" w:hAnsi="Aptos" w:eastAsia="Aptos"/>
      <w:b/>
      <w:color w:val="FFFFFF"/>
      <w:sz w:val="46"/>
    </w:rPr>
  </w:style>
  <w:style w:type="paragraph" w:customStyle="1" w:styleId="Sub">
    <w:name w:val="Sub"/>
    <w:pPr>
      <w:spacing w:after="40"/>
    </w:pPr>
    <w:rPr>
      <w:rFonts w:ascii="Aptos" w:hAnsi="Aptos" w:eastAsia="Aptos"/>
      <w:b w:val="0"/>
      <w:color w:val="A8E6DF"/>
      <w:sz w:val="21"/>
    </w:rPr>
  </w:style>
  <w:style w:type="paragraph" w:customStyle="1" w:styleId="Sec">
    <w:name w:val="Sec"/>
    <w:pPr>
      <w:spacing w:after="40"/>
    </w:pPr>
    <w:rPr>
      <w:rFonts w:ascii="Aptos" w:hAnsi="Aptos" w:eastAsia="Aptos"/>
      <w:b/>
      <w:color w:val="0B2D42"/>
      <w:sz w:val="21"/>
    </w:rPr>
  </w:style>
  <w:style w:type="paragraph" w:customStyle="1" w:styleId="Role">
    <w:name w:val="Role"/>
    <w:pPr>
      <w:spacing w:after="40"/>
    </w:pPr>
    <w:rPr>
      <w:rFonts w:ascii="Aptos" w:hAnsi="Aptos" w:eastAsia="Aptos"/>
      <w:b/>
      <w:color w:val="0B2D42"/>
      <w:sz w:val="19"/>
    </w:rPr>
  </w:style>
  <w:style w:type="paragraph" w:customStyle="1" w:styleId="Meta">
    <w:name w:val="Meta"/>
    <w:pPr>
      <w:spacing w:after="40"/>
    </w:pPr>
    <w:rPr>
      <w:rFonts w:ascii="Aptos" w:hAnsi="Aptos" w:eastAsia="Aptos"/>
      <w:b w:val="0"/>
      <w:color w:val="5F6F7A"/>
      <w:sz w:val="16"/>
    </w:rPr>
  </w:style>
  <w:style w:type="paragraph" w:customStyle="1" w:styleId="Body">
    <w:name w:val="Body"/>
    <w:pPr>
      <w:spacing w:after="40"/>
    </w:pPr>
    <w:rPr>
      <w:rFonts w:ascii="Aptos" w:hAnsi="Aptos" w:eastAsia="Aptos"/>
      <w:b w:val="0"/>
      <w:color w:val="20262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