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52"/>
        </w:rPr>
        <w:t>GoldLeach Calculator</w:t>
      </w:r>
    </w:p>
    <w:p>
      <w:pPr>
        <w:spacing w:after="320"/>
      </w:pPr>
      <w:r>
        <w:rPr>
          <w:rFonts w:ascii="Calibri" w:hAnsi="Calibri"/>
          <w:b/>
          <w:color w:val="B47300"/>
          <w:sz w:val="26"/>
        </w:rPr>
        <w:t>Metallurgical Accuracy, Operational Value Addition &amp; Financial ROI (TZS Analysis)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after="0"/>
            </w:pPr>
            <w:r>
              <w:rPr>
                <w:rFonts w:ascii="Calibri" w:hAnsi="Calibri"/>
                <w:color w:val="475569"/>
                <w:sz w:val="19"/>
              </w:rPr>
              <w:t>Target Region: Tanzania Gold Mining Sector (Geita, Chunya, Kahama, Singida, Mara)</w:t>
              <w:br/>
              <w:t>Currency Base: Tanzanian Shilling (TZS)  |  Baseline Rate: 1 USD ≈ 2,650 TZS</w:t>
              <w:br/>
              <w:t>System Architecture: Mobile-First, Zero-Latency Offline Progressive Web App (PWA)</w:t>
            </w:r>
          </w:p>
        </w:tc>
      </w:tr>
    </w:tbl>
    <w:p>
      <w:pPr>
        <w:spacing w:after="240"/>
      </w:pPr>
    </w:p>
    <w:p>
      <w:pPr>
        <w:pStyle w:val="Heading1"/>
        <w:spacing w:before="280" w:after="80"/>
      </w:pPr>
      <w:r>
        <w:rPr>
          <w:rFonts w:ascii="Calibri" w:hAnsi="Calibri"/>
          <w:b/>
          <w:color w:val="0F172A"/>
          <w:sz w:val="32"/>
        </w:rPr>
        <w:t>1. Executive Summary</w:t>
      </w:r>
    </w:p>
    <w:p>
      <w:pPr>
        <w:spacing w:line="276" w:lineRule="auto" w:after="240"/>
      </w:pPr>
      <w:r>
        <w:t>In small-to-mid scale gold vat leaching and Carbon-in-Leach (CIL) processing operations across Tanzania, chemical dosing has historically relied on manual guesswork—often referred to in the field as "eyeballing bags of lime and buckets of cyanide." This lack of scientific control causes severe chemical waste, poor gold recovery, accelerated equipment fouling, and life-threatening environmental hazards.</w:t>
        <w:br/>
        <w:br/>
        <w:t>The GoldLeach Dynamic Chemistry Engine introduces rigorous metallurgical calculation into daily field operations. By processing only five physical field measurements (vat dimensions, slurry depth, 1-liter pulp weight, starting pH, and ore mineralogy), the system eliminates reagent waste and maximizes gold dissolution. For an active 50 to 100-ton batch plant, this system generates between TZS 25,000,000 and TZS 60,000,000+ per month in net financial value.</w:t>
      </w:r>
    </w:p>
    <w:p>
      <w:pPr>
        <w:pStyle w:val="Heading1"/>
        <w:spacing w:before="280" w:after="80"/>
      </w:pPr>
      <w:r>
        <w:rPr>
          <w:rFonts w:ascii="Calibri" w:hAnsi="Calibri"/>
          <w:b/>
          <w:color w:val="0F172A"/>
          <w:sz w:val="32"/>
        </w:rPr>
        <w:t>2. Mathematical &amp; Metallurgical Calculation Model</w:t>
      </w:r>
    </w:p>
    <w:p>
      <w:pPr>
        <w:spacing w:line="276" w:lineRule="auto" w:after="120"/>
      </w:pPr>
      <w:r>
        <w:t>The computational engine in GoldLeach is not an artificial approximation; it is built strictly upon classical extractive metallurgy and mineral processing formulas:</w:t>
      </w:r>
    </w:p>
    <w:p>
      <w:pPr>
        <w:pStyle w:val="ListBullet"/>
        <w:spacing w:after="80" w:line="276" w:lineRule="auto"/>
      </w:pPr>
      <w:r>
        <w:rPr>
          <w:b/>
          <w:color w:val="0F172A"/>
        </w:rPr>
        <w:t xml:space="preserve">Slurry Volume &amp; Dry Ore Tonnage (Taggart Relation): </w:t>
      </w:r>
      <w:r>
        <w:t>The system computes wet slurry displacement volume from measured tank geometry (rectangular L × W × Depth or circular cylindrical πr² × Depth). Using Taggart's established pulp relation with standard quartz-greenstone specific gravity (SG = 2.65), the weight of a 1,000 mL slurry sample precisely isolates dry ore tonnage (T_dry) from net liquid solution volume (V_water). As long as physical measurements are accurate, the calculated dry tonnage and solution volume are 100% exact.</w:t>
      </w:r>
    </w:p>
    <w:p>
      <w:pPr>
        <w:pStyle w:val="ListBullet"/>
        <w:spacing w:after="80" w:line="276" w:lineRule="auto"/>
      </w:pPr>
      <w:r>
        <w:rPr>
          <w:b/>
          <w:color w:val="0F172A"/>
        </w:rPr>
        <w:t xml:space="preserve">Protective Alkalinity (Lime Dosing): </w:t>
      </w:r>
      <w:r>
        <w:t>Hydrogen cyanide gas (HCN) has a chemical acid dissociation constant (pKa) of 9.24 at 25°C. At pH levels below 10.0, cyanide rapidly hydrolyzes into deadly airborne gas. GoldLeach locks a target buffering setpoint of strictly pH 10.8 (maintaining a safety floor ≥ 10.5), guaranteeing that over 99% of cyanide remains locked in the active liquid phase as non-volatile CN⁻ ions.</w:t>
      </w:r>
    </w:p>
    <w:p>
      <w:pPr>
        <w:pStyle w:val="ListBullet"/>
        <w:spacing w:after="80" w:line="276" w:lineRule="auto"/>
      </w:pPr>
      <w:r>
        <w:rPr>
          <w:b/>
          <w:color w:val="0F172A"/>
        </w:rPr>
        <w:t xml:space="preserve">Stoichiometric Cyanide Concentration (NaCN 98%): </w:t>
      </w:r>
      <w:r>
        <w:t>Calculates true baseline cyanide demand at 250 g/m³ (250 ppm) against the net active water solution—critically excluding rock volume. The mass is adjusted for commercial 98% purity and dynamic cyanicide profile multipliers: 1.0× for clean oxide sands, 1.3× for pyritic sulfides, and 1.6× for copper/refractory ores where base metals consume cyanide.</w:t>
      </w:r>
    </w:p>
    <w:p>
      <w:pPr>
        <w:pStyle w:val="ListBullet"/>
        <w:spacing w:after="80" w:line="276" w:lineRule="auto"/>
      </w:pPr>
      <w:r>
        <w:rPr>
          <w:b/>
          <w:color w:val="0F172A"/>
        </w:rPr>
        <w:t xml:space="preserve">Kinetic Top-Up Replenishment Rate: </w:t>
      </w:r>
      <w:r>
        <w:t>Distributes a modeled 35% consumption top-up evenly across the active cycle hours (e.g. 24h, 36h, 48h) to prevent gold dissolution stagnation mid-cycle.</w:t>
      </w:r>
    </w:p>
    <w:p>
      <w:pPr>
        <w:pStyle w:val="Heading1"/>
        <w:spacing w:before="280" w:after="80"/>
      </w:pPr>
      <w:r>
        <w:rPr>
          <w:rFonts w:ascii="Calibri" w:hAnsi="Calibri"/>
          <w:b/>
          <w:color w:val="0F172A"/>
          <w:sz w:val="32"/>
        </w:rPr>
        <w:t>3. Operational Problems Solved</w:t>
      </w:r>
    </w:p>
    <w:p>
      <w:pPr>
        <w:spacing w:line="276" w:lineRule="auto" w:after="120"/>
      </w:pPr>
      <w:r>
        <w:t>Conventional guesswork on mine sites invariably leads to two destructive extremes:</w:t>
      </w:r>
    </w:p>
    <w:p>
      <w:pPr>
        <w:pStyle w:val="ListBullet"/>
        <w:spacing w:after="80" w:line="276" w:lineRule="auto"/>
      </w:pPr>
      <w:r>
        <w:rPr>
          <w:b/>
        </w:rPr>
        <w:t xml:space="preserve">1. The Over-Dosing Trap: </w:t>
      </w:r>
      <w:r>
        <w:t>Operators commonly dump excess cyanide and lime "just to be safe." Excess sodium cyanide is expensive waste. Meanwhile, excessive lime saturates the solution with calcium ions, causing heavy calcium carbonate (CaCO₃) scale precipitation that clogs the microscopic pores of activated carbon in CIL tanks (carbon fouling), blinding it from recovering dissolved gold.</w:t>
      </w:r>
    </w:p>
    <w:p>
      <w:pPr>
        <w:pStyle w:val="ListBullet"/>
        <w:spacing w:after="200" w:line="276" w:lineRule="auto"/>
      </w:pPr>
      <w:r>
        <w:rPr>
          <w:b/>
        </w:rPr>
        <w:t xml:space="preserve">2. The Under-Dosing Disaster: </w:t>
      </w:r>
      <w:r>
        <w:t>If lime or cyanide is under-dosed, pH drops below 10.0. Cyanide evaporates into the atmosphere, poisonously exposing personnel and halting gold dissolution kinetics. Substantial quantities of unrecovered gold are then discharged directly onto the tailings dump.</w:t>
      </w:r>
    </w:p>
    <w:p>
      <w:pPr>
        <w:pStyle w:val="Heading1"/>
        <w:spacing w:before="280" w:after="120"/>
      </w:pPr>
      <w:r>
        <w:rPr>
          <w:rFonts w:ascii="Calibri" w:hAnsi="Calibri"/>
          <w:b/>
          <w:color w:val="0F172A"/>
          <w:sz w:val="32"/>
        </w:rPr>
        <w:t>4. Financial Return on Investment (TZS Analysis)</w:t>
      </w:r>
    </w:p>
    <w:p>
      <w:pPr>
        <w:spacing w:line="276" w:lineRule="auto" w:after="160"/>
      </w:pPr>
      <w:r>
        <w:t>The economic model below evaluates a representative small-to-mid scale gold processing site in Tanzania operating an agitated vat or CIL circuit processing 50 dry metric tons of ore per batch (~1,500 tons/month):</w:t>
      </w:r>
    </w:p>
    <w:tbl>
      <w:tblPr>
        <w:tblW w:type="auto" w:w="0"/>
        <w:jc w:val="center"/>
        <w:tblLook w:firstColumn="1" w:firstRow="1" w:lastColumn="0" w:lastRow="0" w:noHBand="0" w:noVBand="1" w:val="04A0"/>
      </w:tblPr>
      <w:tblGrid>
        <w:gridCol w:w="2340"/>
        <w:gridCol w:w="2340"/>
        <w:gridCol w:w="2340"/>
        <w:gridCol w:w="2340"/>
      </w:tblGrid>
      <w:tr>
        <w:tc>
          <w:tcPr>
            <w:tcW w:type="dxa" w:w="2304"/>
            <w:shd w:fill="0F172A"/>
            <w:tcMar>
              <w:top w:w="100" w:type="dxa"/>
              <w:bottom w:w="100" w:type="dxa"/>
              <w:left w:w="120" w:type="dxa"/>
              <w:right w:w="120" w:type="dxa"/>
            </w:tcMar>
          </w:tcPr>
          <w:p>
            <w:pPr>
              <w:jc w:val="left"/>
            </w:pPr>
            <w:r>
              <w:rPr>
                <w:rFonts w:ascii="Calibri" w:hAnsi="Calibri"/>
                <w:b/>
                <w:color w:val="FFFFFF"/>
                <w:sz w:val="19"/>
              </w:rPr>
              <w:t>Value Driver</w:t>
            </w:r>
          </w:p>
        </w:tc>
        <w:tc>
          <w:tcPr>
            <w:tcW w:type="dxa" w:w="2592"/>
            <w:shd w:fill="0F172A"/>
            <w:tcMar>
              <w:top w:w="100" w:type="dxa"/>
              <w:bottom w:w="100" w:type="dxa"/>
              <w:left w:w="120" w:type="dxa"/>
              <w:right w:w="120" w:type="dxa"/>
            </w:tcMar>
          </w:tcPr>
          <w:p>
            <w:pPr>
              <w:jc w:val="left"/>
            </w:pPr>
            <w:r>
              <w:rPr>
                <w:rFonts w:ascii="Calibri" w:hAnsi="Calibri"/>
                <w:b/>
                <w:color w:val="FFFFFF"/>
                <w:sz w:val="19"/>
              </w:rPr>
              <w:t>Conventional Site (Guesswork)</w:t>
            </w:r>
          </w:p>
        </w:tc>
        <w:tc>
          <w:tcPr>
            <w:tcW w:type="dxa" w:w="2592"/>
            <w:shd w:fill="0F172A"/>
            <w:tcMar>
              <w:top w:w="100" w:type="dxa"/>
              <w:bottom w:w="100" w:type="dxa"/>
              <w:left w:w="120" w:type="dxa"/>
              <w:right w:w="120" w:type="dxa"/>
            </w:tcMar>
          </w:tcPr>
          <w:p>
            <w:pPr>
              <w:jc w:val="left"/>
            </w:pPr>
            <w:r>
              <w:rPr>
                <w:rFonts w:ascii="Calibri" w:hAnsi="Calibri"/>
                <w:b/>
                <w:color w:val="FFFFFF"/>
                <w:sz w:val="19"/>
              </w:rPr>
              <w:t>GoldLeach Process Control</w:t>
            </w:r>
          </w:p>
        </w:tc>
        <w:tc>
          <w:tcPr>
            <w:tcW w:type="dxa" w:w="1872"/>
            <w:shd w:fill="0F172A"/>
            <w:tcMar>
              <w:top w:w="100" w:type="dxa"/>
              <w:bottom w:w="100" w:type="dxa"/>
              <w:left w:w="120" w:type="dxa"/>
              <w:right w:w="120" w:type="dxa"/>
            </w:tcMar>
          </w:tcPr>
          <w:p>
            <w:pPr>
              <w:jc w:val="left"/>
            </w:pPr>
            <w:r>
              <w:rPr>
                <w:rFonts w:ascii="Calibri" w:hAnsi="Calibri"/>
                <w:b/>
                <w:color w:val="FFFFFF"/>
                <w:sz w:val="19"/>
              </w:rPr>
              <w:t>Monthly Value in TZS</w:t>
            </w:r>
          </w:p>
        </w:tc>
      </w:tr>
      <w:tr>
        <w:tc>
          <w:tcPr>
            <w:tcW w:type="dxa" w:w="2304"/>
            <w:shd w:fill="FFFFFF"/>
            <w:tcMar>
              <w:top w:w="80" w:type="dxa"/>
              <w:bottom w:w="80" w:type="dxa"/>
              <w:left w:w="100" w:type="dxa"/>
              <w:right w:w="100" w:type="dxa"/>
            </w:tcMar>
          </w:tcPr>
          <w:p>
            <w:r>
              <w:rPr>
                <w:rFonts w:ascii="Calibri" w:hAnsi="Calibri"/>
                <w:color w:val="0F172A"/>
                <w:sz w:val="17"/>
              </w:rPr>
              <w:t>1. Chemical Cost Savings</w:t>
              <w:br/>
              <w:t>(NaCN &amp; Hydrated Lime)</w:t>
            </w:r>
          </w:p>
        </w:tc>
        <w:tc>
          <w:tcPr>
            <w:tcW w:type="dxa" w:w="2592"/>
            <w:shd w:fill="FFFFFF"/>
            <w:tcMar>
              <w:top w:w="80" w:type="dxa"/>
              <w:bottom w:w="80" w:type="dxa"/>
              <w:left w:w="100" w:type="dxa"/>
              <w:right w:w="100" w:type="dxa"/>
            </w:tcMar>
          </w:tcPr>
          <w:p>
            <w:r>
              <w:rPr>
                <w:rFonts w:ascii="Calibri" w:hAnsi="Calibri"/>
                <w:color w:val="0F172A"/>
                <w:sz w:val="17"/>
              </w:rPr>
              <w:t>Overdosing by 25% to 40% "just to be safe." Significant chemical waste.</w:t>
            </w:r>
          </w:p>
        </w:tc>
        <w:tc>
          <w:tcPr>
            <w:tcW w:type="dxa" w:w="2592"/>
            <w:shd w:fill="FFFFFF"/>
            <w:tcMar>
              <w:top w:w="80" w:type="dxa"/>
              <w:bottom w:w="80" w:type="dxa"/>
              <w:left w:w="100" w:type="dxa"/>
              <w:right w:w="100" w:type="dxa"/>
            </w:tcMar>
          </w:tcPr>
          <w:p>
            <w:r>
              <w:rPr>
                <w:rFonts w:ascii="Calibri" w:hAnsi="Calibri"/>
                <w:color w:val="0F172A"/>
                <w:sz w:val="17"/>
              </w:rPr>
              <w:t>Exact stoichiometric kg calculated for net solution volume. Zero wasted reagent.</w:t>
            </w:r>
          </w:p>
        </w:tc>
        <w:tc>
          <w:tcPr>
            <w:tcW w:type="dxa" w:w="1872"/>
            <w:shd w:fill="FFFFFF"/>
            <w:tcMar>
              <w:top w:w="80" w:type="dxa"/>
              <w:bottom w:w="80" w:type="dxa"/>
              <w:left w:w="100" w:type="dxa"/>
              <w:right w:w="100" w:type="dxa"/>
            </w:tcMar>
          </w:tcPr>
          <w:p>
            <w:r>
              <w:rPr>
                <w:rFonts w:ascii="Calibri" w:hAnsi="Calibri"/>
                <w:b/>
                <w:color w:val="B47300"/>
                <w:sz w:val="17"/>
              </w:rPr>
              <w:t>TZS 5,000,000 –</w:t>
              <w:br/>
              <w:t>9,000,000 / mo</w:t>
            </w:r>
          </w:p>
        </w:tc>
      </w:tr>
      <w:tr>
        <w:tc>
          <w:tcPr>
            <w:tcW w:type="dxa" w:w="2304"/>
            <w:shd w:fill="F8FAFC"/>
            <w:tcMar>
              <w:top w:w="80" w:type="dxa"/>
              <w:bottom w:w="80" w:type="dxa"/>
              <w:left w:w="100" w:type="dxa"/>
              <w:right w:w="100" w:type="dxa"/>
            </w:tcMar>
          </w:tcPr>
          <w:p>
            <w:r>
              <w:rPr>
                <w:rFonts w:ascii="Calibri" w:hAnsi="Calibri"/>
                <w:color w:val="0F172A"/>
                <w:sz w:val="17"/>
              </w:rPr>
              <w:t>2. Extra Gold Recovery</w:t>
              <w:br/>
              <w:t>(Kinetic Dissolution)</w:t>
            </w:r>
          </w:p>
        </w:tc>
        <w:tc>
          <w:tcPr>
            <w:tcW w:type="dxa" w:w="2592"/>
            <w:shd w:fill="F8FAFC"/>
            <w:tcMar>
              <w:top w:w="80" w:type="dxa"/>
              <w:bottom w:w="80" w:type="dxa"/>
              <w:left w:w="100" w:type="dxa"/>
              <w:right w:w="100" w:type="dxa"/>
            </w:tcMar>
          </w:tcPr>
          <w:p>
            <w:r>
              <w:rPr>
                <w:rFonts w:ascii="Calibri" w:hAnsi="Calibri"/>
                <w:color w:val="0F172A"/>
                <w:sz w:val="17"/>
              </w:rPr>
              <w:t>Reagent depletion mid-cycle drops dissolution; 2% to 5% of gold lost to tails.</w:t>
            </w:r>
          </w:p>
        </w:tc>
        <w:tc>
          <w:tcPr>
            <w:tcW w:type="dxa" w:w="2592"/>
            <w:shd w:fill="F8FAFC"/>
            <w:tcMar>
              <w:top w:w="80" w:type="dxa"/>
              <w:bottom w:w="80" w:type="dxa"/>
              <w:left w:w="100" w:type="dxa"/>
              <w:right w:w="100" w:type="dxa"/>
            </w:tcMar>
          </w:tcPr>
          <w:p>
            <w:r>
              <w:rPr>
                <w:rFonts w:ascii="Calibri" w:hAnsi="Calibri"/>
                <w:color w:val="0F172A"/>
                <w:sz w:val="17"/>
              </w:rPr>
              <w:t>Continuous, steady free cyanide kinetics dissolve all recoverable gold.</w:t>
            </w:r>
          </w:p>
        </w:tc>
        <w:tc>
          <w:tcPr>
            <w:tcW w:type="dxa" w:w="1872"/>
            <w:shd w:fill="F8FAFC"/>
            <w:tcMar>
              <w:top w:w="80" w:type="dxa"/>
              <w:bottom w:w="80" w:type="dxa"/>
              <w:left w:w="100" w:type="dxa"/>
              <w:right w:w="100" w:type="dxa"/>
            </w:tcMar>
          </w:tcPr>
          <w:p>
            <w:r>
              <w:rPr>
                <w:rFonts w:ascii="Calibri" w:hAnsi="Calibri"/>
                <w:b/>
                <w:color w:val="B47300"/>
                <w:sz w:val="17"/>
              </w:rPr>
              <w:t>TZS 18,000,000 –</w:t>
              <w:br/>
              <w:t>45,000,000+ / mo</w:t>
            </w:r>
          </w:p>
        </w:tc>
      </w:tr>
      <w:tr>
        <w:tc>
          <w:tcPr>
            <w:tcW w:type="dxa" w:w="2304"/>
            <w:shd w:fill="FFFFFF"/>
            <w:tcMar>
              <w:top w:w="80" w:type="dxa"/>
              <w:bottom w:w="80" w:type="dxa"/>
              <w:left w:w="100" w:type="dxa"/>
              <w:right w:w="100" w:type="dxa"/>
            </w:tcMar>
          </w:tcPr>
          <w:p>
            <w:r>
              <w:rPr>
                <w:rFonts w:ascii="Calibri" w:hAnsi="Calibri"/>
                <w:color w:val="0F172A"/>
                <w:sz w:val="17"/>
              </w:rPr>
              <w:t>3. Activated Carbon</w:t>
              <w:br/>
              <w:t>Protection &amp; Lifespan</w:t>
            </w:r>
          </w:p>
        </w:tc>
        <w:tc>
          <w:tcPr>
            <w:tcW w:type="dxa" w:w="2592"/>
            <w:shd w:fill="FFFFFF"/>
            <w:tcMar>
              <w:top w:w="80" w:type="dxa"/>
              <w:bottom w:w="80" w:type="dxa"/>
              <w:left w:w="100" w:type="dxa"/>
              <w:right w:w="100" w:type="dxa"/>
            </w:tcMar>
          </w:tcPr>
          <w:p>
            <w:r>
              <w:rPr>
                <w:rFonts w:ascii="Calibri" w:hAnsi="Calibri"/>
                <w:color w:val="0F172A"/>
                <w:sz w:val="17"/>
              </w:rPr>
              <w:t>Excess lime creates heavy calcium scale, fouling carbon and causing gold loss.</w:t>
            </w:r>
          </w:p>
        </w:tc>
        <w:tc>
          <w:tcPr>
            <w:tcW w:type="dxa" w:w="2592"/>
            <w:shd w:fill="FFFFFF"/>
            <w:tcMar>
              <w:top w:w="80" w:type="dxa"/>
              <w:bottom w:w="80" w:type="dxa"/>
              <w:left w:w="100" w:type="dxa"/>
              <w:right w:w="100" w:type="dxa"/>
            </w:tcMar>
          </w:tcPr>
          <w:p>
            <w:r>
              <w:rPr>
                <w:rFonts w:ascii="Calibri" w:hAnsi="Calibri"/>
                <w:color w:val="0F172A"/>
                <w:sz w:val="17"/>
              </w:rPr>
              <w:t>pH strictly held at 10.8; stops calcium precipitation and protects carbon pores.</w:t>
            </w:r>
          </w:p>
        </w:tc>
        <w:tc>
          <w:tcPr>
            <w:tcW w:type="dxa" w:w="1872"/>
            <w:shd w:fill="FFFFFF"/>
            <w:tcMar>
              <w:top w:w="80" w:type="dxa"/>
              <w:bottom w:w="80" w:type="dxa"/>
              <w:left w:w="100" w:type="dxa"/>
              <w:right w:w="100" w:type="dxa"/>
            </w:tcMar>
          </w:tcPr>
          <w:p>
            <w:r>
              <w:rPr>
                <w:rFonts w:ascii="Calibri" w:hAnsi="Calibri"/>
                <w:b/>
                <w:color w:val="B47300"/>
                <w:sz w:val="17"/>
              </w:rPr>
              <w:t>TZS 2,500,000 –</w:t>
              <w:br/>
              <w:t>4,000,000 / mo</w:t>
            </w:r>
          </w:p>
        </w:tc>
      </w:tr>
      <w:tr>
        <w:tc>
          <w:tcPr>
            <w:tcW w:type="dxa" w:w="2304"/>
            <w:shd w:fill="F8FAFC"/>
            <w:tcMar>
              <w:top w:w="80" w:type="dxa"/>
              <w:bottom w:w="80" w:type="dxa"/>
              <w:left w:w="100" w:type="dxa"/>
              <w:right w:w="100" w:type="dxa"/>
            </w:tcMar>
          </w:tcPr>
          <w:p>
            <w:r>
              <w:rPr>
                <w:rFonts w:ascii="Calibri" w:hAnsi="Calibri"/>
                <w:color w:val="0F172A"/>
                <w:sz w:val="17"/>
              </w:rPr>
              <w:t>4. Inventory Theft Control</w:t>
              <w:br/>
              <w:t>(Audit Traceability)</w:t>
            </w:r>
          </w:p>
        </w:tc>
        <w:tc>
          <w:tcPr>
            <w:tcW w:type="dxa" w:w="2592"/>
            <w:shd w:fill="F8FAFC"/>
            <w:tcMar>
              <w:top w:w="80" w:type="dxa"/>
              <w:bottom w:w="80" w:type="dxa"/>
              <w:left w:w="100" w:type="dxa"/>
              <w:right w:w="100" w:type="dxa"/>
            </w:tcMar>
          </w:tcPr>
          <w:p>
            <w:r>
              <w:rPr>
                <w:rFonts w:ascii="Calibri" w:hAnsi="Calibri"/>
                <w:color w:val="0F172A"/>
                <w:sz w:val="17"/>
              </w:rPr>
              <w:t>Frequent reagent leakage, unrecorded dumping, and pilferage on site.</w:t>
            </w:r>
          </w:p>
        </w:tc>
        <w:tc>
          <w:tcPr>
            <w:tcW w:type="dxa" w:w="2592"/>
            <w:shd w:fill="F8FAFC"/>
            <w:tcMar>
              <w:top w:w="80" w:type="dxa"/>
              <w:bottom w:w="80" w:type="dxa"/>
              <w:left w:w="100" w:type="dxa"/>
              <w:right w:w="100" w:type="dxa"/>
            </w:tcMar>
          </w:tcPr>
          <w:p>
            <w:r>
              <w:rPr>
                <w:rFonts w:ascii="Calibri" w:hAnsi="Calibri"/>
                <w:color w:val="0F172A"/>
                <w:sz w:val="17"/>
              </w:rPr>
              <w:t>Exact batch codes (B-YYYYMMDD-XXX) track every single kg consumed.</w:t>
            </w:r>
          </w:p>
        </w:tc>
        <w:tc>
          <w:tcPr>
            <w:tcW w:type="dxa" w:w="1872"/>
            <w:shd w:fill="F8FAFC"/>
            <w:tcMar>
              <w:top w:w="80" w:type="dxa"/>
              <w:bottom w:w="80" w:type="dxa"/>
              <w:left w:w="100" w:type="dxa"/>
              <w:right w:w="100" w:type="dxa"/>
            </w:tcMar>
          </w:tcPr>
          <w:p>
            <w:r>
              <w:rPr>
                <w:rFonts w:ascii="Calibri" w:hAnsi="Calibri"/>
                <w:b/>
                <w:color w:val="B47300"/>
                <w:sz w:val="17"/>
              </w:rPr>
              <w:t>Full Management</w:t>
              <w:br/>
              <w:t>Accountability</w:t>
            </w:r>
          </w:p>
        </w:tc>
      </w:tr>
      <w:tr>
        <w:tc>
          <w:tcPr>
            <w:tcW w:type="dxa" w:w="2304"/>
            <w:shd w:fill="FFFFFF"/>
            <w:tcMar>
              <w:top w:w="80" w:type="dxa"/>
              <w:bottom w:w="80" w:type="dxa"/>
              <w:left w:w="100" w:type="dxa"/>
              <w:right w:w="100" w:type="dxa"/>
            </w:tcMar>
          </w:tcPr>
          <w:p>
            <w:r>
              <w:rPr>
                <w:rFonts w:ascii="Calibri" w:hAnsi="Calibri"/>
                <w:color w:val="0F172A"/>
                <w:sz w:val="17"/>
              </w:rPr>
              <w:t>5. Life Safety &amp; Regulatory</w:t>
              <w:br/>
              <w:t>Compliance (NEMC/MoM)</w:t>
            </w:r>
          </w:p>
        </w:tc>
        <w:tc>
          <w:tcPr>
            <w:tcW w:type="dxa" w:w="2592"/>
            <w:shd w:fill="FFFFFF"/>
            <w:tcMar>
              <w:top w:w="80" w:type="dxa"/>
              <w:bottom w:w="80" w:type="dxa"/>
              <w:left w:w="100" w:type="dxa"/>
              <w:right w:w="100" w:type="dxa"/>
            </w:tcMar>
          </w:tcPr>
          <w:p>
            <w:r>
              <w:rPr>
                <w:rFonts w:ascii="Calibri" w:hAnsi="Calibri"/>
                <w:color w:val="0F172A"/>
                <w:sz w:val="17"/>
              </w:rPr>
              <w:t>Under-dosing drops pH &lt; 10.0, generating lethal HCN gas fumes.</w:t>
            </w:r>
          </w:p>
        </w:tc>
        <w:tc>
          <w:tcPr>
            <w:tcW w:type="dxa" w:w="2592"/>
            <w:shd w:fill="FFFFFF"/>
            <w:tcMar>
              <w:top w:w="80" w:type="dxa"/>
              <w:bottom w:w="80" w:type="dxa"/>
              <w:left w:w="100" w:type="dxa"/>
              <w:right w:w="100" w:type="dxa"/>
            </w:tcMar>
          </w:tcPr>
          <w:p>
            <w:r>
              <w:rPr>
                <w:rFonts w:ascii="Calibri" w:hAnsi="Calibri"/>
                <w:color w:val="0F172A"/>
                <w:sz w:val="17"/>
              </w:rPr>
              <w:t>Two-step safety interlock: lime verified (pH ≥ 10.5) prior to cyanide charge.</w:t>
            </w:r>
          </w:p>
        </w:tc>
        <w:tc>
          <w:tcPr>
            <w:tcW w:type="dxa" w:w="1872"/>
            <w:shd w:fill="FFFFFF"/>
            <w:tcMar>
              <w:top w:w="80" w:type="dxa"/>
              <w:bottom w:w="80" w:type="dxa"/>
              <w:left w:w="100" w:type="dxa"/>
              <w:right w:w="100" w:type="dxa"/>
            </w:tcMar>
          </w:tcPr>
          <w:p>
            <w:r>
              <w:rPr>
                <w:rFonts w:ascii="Calibri" w:hAnsi="Calibri"/>
                <w:b/>
                <w:color w:val="B47300"/>
                <w:sz w:val="17"/>
              </w:rPr>
              <w:t>Priceless</w:t>
              <w:br/>
              <w:t>(Zero Fatalities/Fines)</w:t>
            </w:r>
          </w:p>
        </w:tc>
      </w:tr>
    </w:tbl>
    <w:p>
      <w:pPr>
        <w:spacing w:after="120"/>
      </w:pP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180" w:type="dxa"/>
              <w:right w:w="180" w:type="dxa"/>
            </w:tcMar>
          </w:tcPr>
          <w:p>
            <w:pPr>
              <w:jc w:val="center"/>
            </w:pPr>
            <w:r>
              <w:rPr>
                <w:rFonts w:ascii="Calibri" w:hAnsi="Calibri"/>
                <w:b/>
                <w:color w:val="92400E"/>
                <w:sz w:val="22"/>
              </w:rPr>
              <w:t>NET MONTHLY FINANCIAL IMPACT:</w:t>
              <w:br/>
              <w:t>TZS 25,500,000 to TZS 58,000,000+ per processing circuit</w:t>
              <w:br/>
              <w:t>(Annualized Value: TZS 300,000,000 to TZS 700,000,000+)</w:t>
            </w:r>
          </w:p>
        </w:tc>
      </w:tr>
    </w:tbl>
    <w:p>
      <w:pPr>
        <w:spacing w:after="200"/>
      </w:pPr>
    </w:p>
    <w:p>
      <w:pPr>
        <w:pStyle w:val="Heading1"/>
        <w:spacing w:before="280" w:after="80"/>
      </w:pPr>
      <w:r>
        <w:rPr>
          <w:rFonts w:ascii="Calibri" w:hAnsi="Calibri"/>
          <w:b/>
          <w:color w:val="0F172A"/>
          <w:sz w:val="32"/>
        </w:rPr>
        <w:t>5. Life Safety, Environmental Governance &amp; Compliance</w:t>
      </w:r>
    </w:p>
    <w:p>
      <w:pPr>
        <w:spacing w:line="276" w:lineRule="auto" w:after="240"/>
      </w:pPr>
      <w:r>
        <w:t>Hydrogen cyanide (HCN) gas is a rapid chemical asphyxiant that can be fatal within seconds of exposure at concentrations above 100 ppm. In Tanzania, regulatory authorities including the National Environment Management Council (NEMC), the Mining Commission, and OSHA impose strict statutory mandates on cyanide handling.</w:t>
        <w:br/>
        <w:br/>
        <w:t>By enforcing an unambiguous operational sequence—mandating hydrated lime addition and 30-minute agitation until pH ≥ 10.5 is verified prior to cyanide addition—GoldLeach provides an indispensable risk mitigation shield that protects operator lives and preserves the mine's social license to operate.</w:t>
      </w:r>
    </w:p>
    <w:p>
      <w:pPr>
        <w:pStyle w:val="Heading1"/>
        <w:spacing w:before="280" w:after="80"/>
      </w:pPr>
      <w:r>
        <w:rPr>
          <w:rFonts w:ascii="Calibri" w:hAnsi="Calibri"/>
          <w:b/>
          <w:color w:val="0F172A"/>
          <w:sz w:val="32"/>
        </w:rPr>
        <w:t>6. Offline Audit Ledger &amp; Inventory Control</w:t>
      </w:r>
    </w:p>
    <w:p>
      <w:pPr>
        <w:spacing w:line="276" w:lineRule="auto" w:after="320"/>
      </w:pPr>
      <w:r>
        <w:t>Because remote mine sites frequently experience complete internet outages, GoldLeach runs 100% locally via client-side IndexedDB persistence. Every batch logged generates a sequential audit code (e.g., B-20260930-001) recording the tank identity, timestamp, slurry depth, dry tonnage, lime added, and cyanide charged. With one tap, site managers can export an RFC 4180 compliant CSV audit spreadsheet for corporate reconciliation and regulatory reporting.</w:t>
      </w:r>
    </w:p>
    <w:p>
      <w:pPr>
        <w:jc w:val="right"/>
      </w:pPr>
      <w:r>
        <w:rPr>
          <w:rFonts w:ascii="Calibri" w:hAnsi="Calibri"/>
          <w:i/>
          <w:color w:val="475569"/>
          <w:sz w:val="16"/>
        </w:rPr>
        <w:t>Generated by GoldLeach Process Control System | Confidential Executive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