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Marks Data Analysis &amp; Teacher Insights</w:t>
      </w:r>
    </w:p>
    <w:p>
      <w:pPr>
        <w:pStyle w:val="Heading2"/>
      </w:pPr>
      <w:r>
        <w:t>Overall Class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Students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Pass Percentage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Highest Total Mark</w:t>
            </w:r>
          </w:p>
        </w:tc>
        <w:tc>
          <w:tcPr>
            <w:tcW w:type="dxa" w:w="4320"/>
          </w:tcPr>
          <w:p>
            <w:r>
              <w:t>462</w:t>
            </w:r>
          </w:p>
        </w:tc>
      </w:tr>
      <w:tr>
        <w:tc>
          <w:tcPr>
            <w:tcW w:type="dxa" w:w="4320"/>
          </w:tcPr>
          <w:p>
            <w:r>
              <w:t>Lowest Total Mark</w:t>
            </w:r>
          </w:p>
        </w:tc>
        <w:tc>
          <w:tcPr>
            <w:tcW w:type="dxa" w:w="4320"/>
          </w:tcPr>
          <w:p>
            <w:r>
              <w:t>340</w:t>
            </w:r>
          </w:p>
        </w:tc>
      </w:tr>
      <w:tr>
        <w:tc>
          <w:tcPr>
            <w:tcW w:type="dxa" w:w="4320"/>
          </w:tcPr>
          <w:p>
            <w:r>
              <w:t>Highest Average</w:t>
            </w:r>
          </w:p>
        </w:tc>
        <w:tc>
          <w:tcPr>
            <w:tcW w:type="dxa" w:w="4320"/>
          </w:tcPr>
          <w:p>
            <w:r>
              <w:t>92.4</w:t>
            </w:r>
          </w:p>
        </w:tc>
      </w:tr>
      <w:tr>
        <w:tc>
          <w:tcPr>
            <w:tcW w:type="dxa" w:w="4320"/>
          </w:tcPr>
          <w:p>
            <w:r>
              <w:t>Lowest Average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</w:tbl>
    <w:p>
      <w:pPr>
        <w:pStyle w:val="Heading2"/>
      </w:pPr>
      <w:r>
        <w:t>Top Performing Students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Average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</w:tr>
      <w:tr>
        <w:tc>
          <w:tcPr>
            <w:tcW w:type="dxa" w:w="2160"/>
          </w:tcPr>
          <w:p>
            <w:r>
              <w:t>Student 7</w:t>
            </w:r>
          </w:p>
        </w:tc>
        <w:tc>
          <w:tcPr>
            <w:tcW w:type="dxa" w:w="2160"/>
          </w:tcPr>
          <w:p>
            <w:r>
              <w:t>462</w:t>
            </w:r>
          </w:p>
        </w:tc>
        <w:tc>
          <w:tcPr>
            <w:tcW w:type="dxa" w:w="2160"/>
          </w:tcPr>
          <w:p>
            <w:r>
              <w:t>92.4</w:t>
            </w:r>
          </w:p>
        </w:tc>
        <w:tc>
          <w:tcPr>
            <w:tcW w:type="dxa" w:w="2160"/>
          </w:tcPr>
          <w:p>
            <w:r>
              <w:t>A+</w:t>
            </w:r>
          </w:p>
        </w:tc>
      </w:tr>
      <w:tr>
        <w:tc>
          <w:tcPr>
            <w:tcW w:type="dxa" w:w="2160"/>
          </w:tcPr>
          <w:p>
            <w:r>
              <w:t>Student 15</w:t>
            </w:r>
          </w:p>
        </w:tc>
        <w:tc>
          <w:tcPr>
            <w:tcW w:type="dxa" w:w="2160"/>
          </w:tcPr>
          <w:p>
            <w:r>
              <w:t>439</w:t>
            </w:r>
          </w:p>
        </w:tc>
        <w:tc>
          <w:tcPr>
            <w:tcW w:type="dxa" w:w="2160"/>
          </w:tcPr>
          <w:p>
            <w:r>
              <w:t>87.8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Student 30</w:t>
            </w:r>
          </w:p>
        </w:tc>
        <w:tc>
          <w:tcPr>
            <w:tcW w:type="dxa" w:w="2160"/>
          </w:tcPr>
          <w:p>
            <w:r>
              <w:t>435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Student 42</w:t>
            </w:r>
          </w:p>
        </w:tc>
        <w:tc>
          <w:tcPr>
            <w:tcW w:type="dxa" w:w="2160"/>
          </w:tcPr>
          <w:p>
            <w:r>
              <w:t>434</w:t>
            </w:r>
          </w:p>
        </w:tc>
        <w:tc>
          <w:tcPr>
            <w:tcW w:type="dxa" w:w="2160"/>
          </w:tcPr>
          <w:p>
            <w:r>
              <w:t>86.8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Student 21</w:t>
            </w:r>
          </w:p>
        </w:tc>
        <w:tc>
          <w:tcPr>
            <w:tcW w:type="dxa" w:w="2160"/>
          </w:tcPr>
          <w:p>
            <w:r>
              <w:t>431</w:t>
            </w:r>
          </w:p>
        </w:tc>
        <w:tc>
          <w:tcPr>
            <w:tcW w:type="dxa" w:w="2160"/>
          </w:tcPr>
          <w:p>
            <w:r>
              <w:t>86.2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</w:tbl>
    <w:p>
      <w:pPr>
        <w:pStyle w:val="Heading2"/>
      </w:pPr>
      <w:r>
        <w:t>Teacher Insights</w:t>
      </w:r>
    </w:p>
    <w:p>
      <w:pPr>
        <w:pStyle w:val="ListBullet"/>
      </w:pPr>
      <w:r>
        <w:t>Students performed strongly in Maths and Computer subjects.</w:t>
      </w:r>
    </w:p>
    <w:p>
      <w:pPr>
        <w:pStyle w:val="ListBullet"/>
      </w:pPr>
      <w:r>
        <w:t>Most students fall under Grade B category.</w:t>
      </w:r>
    </w:p>
    <w:p>
      <w:pPr>
        <w:pStyle w:val="ListBullet"/>
      </w:pPr>
      <w:r>
        <w:t>Only a few students require extra academic support.</w:t>
      </w:r>
    </w:p>
    <w:p>
      <w:pPr>
        <w:pStyle w:val="ListBullet"/>
      </w:pPr>
      <w:r>
        <w:t>Balanced students achieved higher overall averages.</w:t>
      </w:r>
    </w:p>
    <w:p>
      <w:pPr>
        <w:pStyle w:val="ListBullet"/>
      </w:pPr>
      <w:r>
        <w:t>English and Social subjects need more improvement focus.</w:t>
      </w:r>
    </w:p>
    <w:p>
      <w:pPr>
        <w:pStyle w:val="Heading2"/>
      </w:pPr>
      <w:r>
        <w:t>Subject-wise Analysis</w:t>
      </w:r>
    </w:p>
    <w:p>
      <w:pPr>
        <w:pStyle w:val="Heading3"/>
      </w:pPr>
      <w:r>
        <w:t>English</w:t>
      </w:r>
    </w:p>
    <w:p>
      <w:r>
        <w:t>Moderate performance. Communication improvement recommended.</w:t>
      </w:r>
    </w:p>
    <w:p>
      <w:pPr>
        <w:pStyle w:val="Heading3"/>
      </w:pPr>
      <w:r>
        <w:t>Maths</w:t>
      </w:r>
    </w:p>
    <w:p>
      <w:r>
        <w:t>Strongest subject with many high scorers.</w:t>
      </w:r>
    </w:p>
    <w:p>
      <w:pPr>
        <w:pStyle w:val="Heading3"/>
      </w:pPr>
      <w:r>
        <w:t>Science</w:t>
      </w:r>
    </w:p>
    <w:p>
      <w:r>
        <w:t>Good conceptual understanding among students.</w:t>
      </w:r>
    </w:p>
    <w:p>
      <w:pPr>
        <w:pStyle w:val="Heading3"/>
      </w:pPr>
      <w:r>
        <w:t>Social</w:t>
      </w:r>
    </w:p>
    <w:p>
      <w:r>
        <w:t>Average performance; revision sessions may help.</w:t>
      </w:r>
    </w:p>
    <w:p>
      <w:pPr>
        <w:pStyle w:val="Heading3"/>
      </w:pPr>
      <w:r>
        <w:t>Computer</w:t>
      </w:r>
    </w:p>
    <w:p>
      <w:r>
        <w:t>Highest overall scoring subject.</w:t>
      </w:r>
    </w:p>
    <w:p>
      <w:pPr>
        <w:pStyle w:val="Heading2"/>
      </w:pPr>
      <w:r>
        <w:t>Recommendations for Teachers</w:t>
      </w:r>
    </w:p>
    <w:p>
      <w:pPr>
        <w:pStyle w:val="ListBullet"/>
      </w:pPr>
      <w:r>
        <w:t>Conduct remedial classes for weaker students.</w:t>
      </w:r>
    </w:p>
    <w:p>
      <w:pPr>
        <w:pStyle w:val="ListBullet"/>
      </w:pPr>
      <w:r>
        <w:t>Introduce advanced assignments for top performers.</w:t>
      </w:r>
    </w:p>
    <w:p>
      <w:pPr>
        <w:pStyle w:val="ListBullet"/>
      </w:pPr>
      <w:r>
        <w:t>Use Excel dashboards for monthly tracking.</w:t>
      </w:r>
    </w:p>
    <w:p>
      <w:pPr>
        <w:pStyle w:val="ListBullet"/>
      </w:pPr>
      <w:r>
        <w:t>Encourage peer learning and group activities.</w:t>
      </w:r>
    </w:p>
    <w:p>
      <w:pPr>
        <w:pStyle w:val="ListBullet"/>
      </w:pPr>
      <w:r>
        <w:t>Improve communication-focused activities.</w:t>
      </w:r>
    </w:p>
    <w:p>
      <w:pPr>
        <w:pStyle w:val="Heading2"/>
      </w:pPr>
      <w:r>
        <w:t>Conclusion</w:t>
      </w:r>
    </w:p>
    <w:p>
      <w:r>
        <w:t>The overall class performance is very good with strong results in technical subjects. Teachers can further improve academic outcomes through targeted support and data-driven teaching methods.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