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f33efac760846df778cccfd041721807bd675b"/>
    <w:p>
      <w:pPr>
        <w:pStyle w:val="Heading1"/>
      </w:pPr>
      <w:r>
        <w:t xml:space="preserve">Progression de mathématiques — 5ᵉ — Année 2026-2027</w:t>
      </w:r>
    </w:p>
    <w:bookmarkStart w:id="20" w:name="X88c21fcbff4cb97352d9f1b101d584dbf661e9b"/>
    <w:p>
      <w:pPr>
        <w:pStyle w:val="Heading2"/>
      </w:pPr>
      <w:r>
        <w:t xml:space="preserve">Comparaison avec la progression de l’équipe</w:t>
      </w:r>
    </w:p>
    <w:p>
      <w:r>
        <w:pict>
          <v:rect style="width:0;height:1.5pt" o:hralign="center" o:hrstd="t" o:hr="t"/>
        </w:pict>
      </w:r>
    </w:p>
    <w:bookmarkEnd w:id="20"/>
    <w:bookmarkStart w:id="21" w:name="résumé"/>
    <w:p>
      <w:pPr>
        <w:pStyle w:val="Heading2"/>
      </w:pPr>
      <w:r>
        <w:t xml:space="preserve">Résumé</w:t>
      </w:r>
    </w:p>
    <w:p>
      <w:pPr>
        <w:pStyle w:val="FirstParagraph"/>
      </w:pPr>
      <w:r>
        <w:t xml:space="preserve">La progression présentée et celle de l’équipe partagent la même colonne vertébrale : même entrée en matière, même ordre de la géométrie, même enchaînement aires puis volumes, probabilités en fin d’année. Les deux ont intégré les deux évolutions majeures du BO du 5 mars 2026 : suppression des nombres premiers et de la décomposition en facteurs premiers, addition de fractions étendue aux dénominateurs quelconques.</w:t>
      </w:r>
    </w:p>
    <w:p>
      <w:pPr>
        <w:pStyle w:val="BodyText"/>
      </w:pPr>
      <w:r>
        <w:t xml:space="preserve">Les écarts se répartissent en trois catégories.</w:t>
      </w:r>
    </w:p>
    <w:p>
      <w:pPr>
        <w:pStyle w:val="BodyText"/>
      </w:pPr>
      <w:r>
        <w:rPr>
          <w:bCs/>
          <w:b/>
        </w:rPr>
        <w:t xml:space="preserve">Conformité au programme.</w:t>
      </w:r>
      <w:r>
        <w:t xml:space="preserve"> </w:t>
      </w:r>
      <w:r>
        <w:t xml:space="preserve">Quatre attendus du BO 2026 n’ont pas de point de chute explicite dans la progression de l’équipe : la comparaison des fractions, les pourcentages et les échelles, les critères de divisibilité par 3 et par 9, et l’algorithmique — huit objectifs réduits à des mentions « possible en AP ». Par ailleurs deux énoncés sortent du cadre de la 5ᵉ : la réduction est annoncée sous la forme</w:t>
      </w:r>
      <w:r>
        <w:t xml:space="preserve"> </w:t>
      </w:r>
      <w:r>
        <w:rPr>
          <w:iCs/>
          <w:i/>
        </w:rPr>
        <w:t xml:space="preserve">ax+bx</w:t>
      </w:r>
      <w:r>
        <w:t xml:space="preserve"> </w:t>
      </w:r>
      <w:r>
        <w:t xml:space="preserve">au lieu de</w:t>
      </w:r>
      <w:r>
        <w:t xml:space="preserve"> </w:t>
      </w:r>
      <w:r>
        <w:rPr>
          <w:iCs/>
          <w:i/>
        </w:rPr>
        <w:t xml:space="preserve">ax+b</w:t>
      </w:r>
      <w:r>
        <w:t xml:space="preserve">, et les équations sous l’intitulé « du 1er degré » alors que le programme se limite à</w:t>
      </w:r>
      <w:r>
        <w:t xml:space="preserve"> </w:t>
      </w:r>
      <w:r>
        <w:rPr>
          <w:iCs/>
          <w:i/>
        </w:rPr>
        <w:t xml:space="preserve">ax=c</w:t>
      </w:r>
      <w:r>
        <w:t xml:space="preserve"> </w:t>
      </w:r>
      <w:r>
        <w:t xml:space="preserve">et</w:t>
      </w:r>
      <w:r>
        <w:t xml:space="preserve"> </w:t>
      </w:r>
      <w:r>
        <w:rPr>
          <w:iCs/>
          <w:i/>
        </w:rPr>
        <w:t xml:space="preserve">x+b=c</w:t>
      </w:r>
      <w:r>
        <w:t xml:space="preserve">.</w:t>
      </w:r>
    </w:p>
    <w:p>
      <w:pPr>
        <w:pStyle w:val="BodyText"/>
      </w:pPr>
      <w:r>
        <w:rPr>
          <w:bCs/>
          <w:b/>
        </w:rPr>
        <w:t xml:space="preserve">Organisation.</w:t>
      </w:r>
      <w:r>
        <w:t xml:space="preserve"> </w:t>
      </w:r>
      <w:r>
        <w:t xml:space="preserve">La progression présentée compte 20 séquences pour 29,5 semaines de contenu et 3,5 semaines de marge, dont une semaine banalisée réservée au voyage de niveau. Celle de l’équipe compte 19 séquences pour 32,5 semaines et une seule semaine de marge, sans réserve pour le voyage. Les 153 objectifs et automatismes du référentiel sont tous attribués à une séquence dans la première ; la seconde ne comporte pas de référencement au BO ni de traitement des automatismes.</w:t>
      </w:r>
    </w:p>
    <w:p>
      <w:pPr>
        <w:pStyle w:val="BodyText"/>
      </w:pPr>
      <w:r>
        <w:rPr>
          <w:bCs/>
          <w:b/>
        </w:rPr>
        <w:t xml:space="preserve">Choix pédagogiques.</w:t>
      </w:r>
      <w:r>
        <w:t xml:space="preserve"> </w:t>
      </w:r>
      <w:r>
        <w:t xml:space="preserve">Trois points de la progression de l’équipe ont été repris : la durée de 2 semaines accordée aux symétries, avec l’entrée par les frises, pavages et rosaces ; l’allongement des séquences de fin d’année sur le traitement de données et les probabilités ; et le regroupement des fractions en un chapitre unique.</w:t>
      </w:r>
    </w:p>
    <w:p>
      <w:r>
        <w:pict>
          <v:rect style="width:0;height:1.5pt" o:hralign="center" o:hrstd="t" o:hr="t"/>
        </w:pict>
      </w:r>
    </w:p>
    <w:bookmarkEnd w:id="21"/>
    <w:bookmarkStart w:id="22" w:name="vue-densemble"/>
    <w:p>
      <w:pPr>
        <w:pStyle w:val="Heading2"/>
      </w:pPr>
      <w:r>
        <w:t xml:space="preserve">1. Vue d’ensemble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Progression présentée</w:t>
            </w:r>
          </w:p>
        </w:tc>
        <w:tc>
          <w:tcPr/>
          <w:p>
            <w:pPr>
              <w:pStyle w:val="Compact"/>
              <w:jc w:val="left"/>
            </w:pPr>
            <w:r>
              <w:t xml:space="preserve">Progression de l’équipe</w:t>
            </w:r>
          </w:p>
        </w:tc>
      </w:tr>
      <w:tr>
        <w:tc>
          <w:tcPr/>
          <w:p>
            <w:pPr>
              <w:pStyle w:val="Compact"/>
              <w:jc w:val="left"/>
            </w:pPr>
            <w:r>
              <w:t xml:space="preserve">Séquences</w:t>
            </w:r>
          </w:p>
        </w:tc>
        <w:tc>
          <w:tcPr/>
          <w:p>
            <w:pPr>
              <w:pStyle w:val="Compact"/>
              <w:jc w:val="left"/>
            </w:pPr>
            <w:r>
              <w:t xml:space="preserve">20</w:t>
            </w:r>
          </w:p>
        </w:tc>
        <w:tc>
          <w:tcPr/>
          <w:p>
            <w:pPr>
              <w:pStyle w:val="Compact"/>
              <w:jc w:val="left"/>
            </w:pPr>
            <w:r>
              <w:t xml:space="preserve">19</w:t>
            </w:r>
          </w:p>
        </w:tc>
      </w:tr>
      <w:tr>
        <w:tc>
          <w:tcPr/>
          <w:p>
            <w:pPr>
              <w:pStyle w:val="Compact"/>
              <w:jc w:val="left"/>
            </w:pPr>
            <w:r>
              <w:t xml:space="preserve">Semaines de contenu</w:t>
            </w:r>
          </w:p>
        </w:tc>
        <w:tc>
          <w:tcPr/>
          <w:p>
            <w:pPr>
              <w:pStyle w:val="Compact"/>
              <w:jc w:val="left"/>
            </w:pPr>
            <w:r>
              <w:t xml:space="preserve">29,5</w:t>
            </w:r>
          </w:p>
        </w:tc>
        <w:tc>
          <w:tcPr/>
          <w:p>
            <w:pPr>
              <w:pStyle w:val="Compact"/>
              <w:jc w:val="left"/>
            </w:pPr>
            <w:r>
              <w:t xml:space="preserve">32,5</w:t>
            </w:r>
          </w:p>
        </w:tc>
      </w:tr>
      <w:tr>
        <w:tc>
          <w:tcPr/>
          <w:p>
            <w:pPr>
              <w:pStyle w:val="Compact"/>
              <w:jc w:val="left"/>
            </w:pPr>
            <w:r>
              <w:t xml:space="preserve">Semaines disponibles</w:t>
            </w:r>
          </w:p>
        </w:tc>
        <w:tc>
          <w:tcPr/>
          <w:p>
            <w:pPr>
              <w:pStyle w:val="Compact"/>
              <w:jc w:val="left"/>
            </w:pPr>
            <w:r>
              <w:t xml:space="preserve">33</w:t>
            </w:r>
          </w:p>
        </w:tc>
        <w:tc>
          <w:tcPr/>
          <w:p>
            <w:pPr>
              <w:pStyle w:val="Compact"/>
              <w:jc w:val="left"/>
            </w:pPr>
            <w:r>
              <w:t xml:space="preserve">33,5</w:t>
            </w:r>
          </w:p>
        </w:tc>
      </w:tr>
      <w:tr>
        <w:tc>
          <w:tcPr/>
          <w:p>
            <w:pPr>
              <w:pStyle w:val="Compact"/>
              <w:jc w:val="left"/>
            </w:pPr>
            <w:r>
              <w:t xml:space="preserve">Marge</w:t>
            </w:r>
          </w:p>
        </w:tc>
        <w:tc>
          <w:tcPr/>
          <w:p>
            <w:pPr>
              <w:pStyle w:val="Compact"/>
              <w:jc w:val="left"/>
            </w:pPr>
            <w:r>
              <w:t xml:space="preserve">3,5 sem.</w:t>
            </w:r>
          </w:p>
        </w:tc>
        <w:tc>
          <w:tcPr/>
          <w:p>
            <w:pPr>
              <w:pStyle w:val="Compact"/>
              <w:jc w:val="left"/>
            </w:pPr>
            <w:r>
              <w:t xml:space="preserve">1 sem.</w:t>
            </w:r>
          </w:p>
        </w:tc>
      </w:tr>
      <w:tr>
        <w:tc>
          <w:tcPr/>
          <w:p>
            <w:pPr>
              <w:pStyle w:val="Compact"/>
              <w:jc w:val="left"/>
            </w:pPr>
            <w:r>
              <w:t xml:space="preserve">Semaine banalisée (voyage)</w:t>
            </w:r>
          </w:p>
        </w:tc>
        <w:tc>
          <w:tcPr/>
          <w:p>
            <w:pPr>
              <w:pStyle w:val="Compact"/>
              <w:jc w:val="left"/>
            </w:pPr>
            <w:r>
              <w:t xml:space="preserve">réservée</w:t>
            </w:r>
          </w:p>
        </w:tc>
        <w:tc>
          <w:tcPr/>
          <w:p>
            <w:pPr>
              <w:pStyle w:val="Compact"/>
              <w:jc w:val="left"/>
            </w:pPr>
            <w:r>
              <w:t xml:space="preserve">non prévue</w:t>
            </w:r>
          </w:p>
        </w:tc>
      </w:tr>
      <w:tr>
        <w:tc>
          <w:tcPr/>
          <w:p>
            <w:pPr>
              <w:pStyle w:val="Compact"/>
              <w:jc w:val="left"/>
            </w:pPr>
            <w:r>
              <w:t xml:space="preserve">Séquence d’algorithmique</w:t>
            </w:r>
          </w:p>
        </w:tc>
        <w:tc>
          <w:tcPr/>
          <w:p>
            <w:pPr>
              <w:pStyle w:val="Compact"/>
              <w:jc w:val="left"/>
            </w:pPr>
            <w:r>
              <w:t xml:space="preserve">fil rouge, 0,5 sem.</w:t>
            </w:r>
          </w:p>
        </w:tc>
        <w:tc>
          <w:tcPr/>
          <w:p>
            <w:pPr>
              <w:pStyle w:val="Compact"/>
              <w:jc w:val="left"/>
            </w:pPr>
            <w:r>
              <w:t xml:space="preserve">aucune</w:t>
            </w:r>
          </w:p>
        </w:tc>
      </w:tr>
      <w:tr>
        <w:tc>
          <w:tcPr/>
          <w:p>
            <w:pPr>
              <w:pStyle w:val="Compact"/>
              <w:jc w:val="left"/>
            </w:pPr>
            <w:r>
              <w:t xml:space="preserve">Automatismes du BO</w:t>
            </w:r>
          </w:p>
        </w:tc>
        <w:tc>
          <w:tcPr/>
          <w:p>
            <w:pPr>
              <w:pStyle w:val="Compact"/>
              <w:jc w:val="left"/>
            </w:pPr>
            <w:r>
              <w:t xml:space="preserve">47, tous placés</w:t>
            </w:r>
          </w:p>
        </w:tc>
        <w:tc>
          <w:tcPr/>
          <w:p>
            <w:pPr>
              <w:pStyle w:val="Compact"/>
              <w:jc w:val="left"/>
            </w:pPr>
            <w:r>
              <w:t xml:space="preserve">non traités</w:t>
            </w:r>
          </w:p>
        </w:tc>
      </w:tr>
      <w:tr>
        <w:tc>
          <w:tcPr/>
          <w:p>
            <w:pPr>
              <w:pStyle w:val="Compact"/>
              <w:jc w:val="left"/>
            </w:pPr>
            <w:r>
              <w:t xml:space="preserve">Référencement au BO 2026</w:t>
            </w:r>
          </w:p>
        </w:tc>
        <w:tc>
          <w:tcPr/>
          <w:p>
            <w:pPr>
              <w:pStyle w:val="Compact"/>
              <w:jc w:val="left"/>
            </w:pPr>
            <w:r>
              <w:t xml:space="preserve">objectif par objectif</w:t>
            </w:r>
          </w:p>
        </w:tc>
        <w:tc>
          <w:tcPr/>
          <w:p>
            <w:pPr>
              <w:pStyle w:val="Compact"/>
              <w:jc w:val="left"/>
            </w:pPr>
            <w:r>
              <w:t xml:space="preserve">non</w:t>
            </w:r>
          </w:p>
        </w:tc>
      </w:tr>
      <w:tr>
        <w:tc>
          <w:tcPr/>
          <w:p>
            <w:pPr>
              <w:pStyle w:val="Compact"/>
              <w:jc w:val="left"/>
            </w:pPr>
            <w:r>
              <w:t xml:space="preserve">Séquence coupée par des vacances</w:t>
            </w:r>
          </w:p>
        </w:tc>
        <w:tc>
          <w:tcPr/>
          <w:p>
            <w:pPr>
              <w:pStyle w:val="Compact"/>
              <w:jc w:val="left"/>
            </w:pPr>
            <w:r>
              <w:t xml:space="preserve">aucune</w:t>
            </w:r>
          </w:p>
        </w:tc>
        <w:tc>
          <w:tcPr/>
          <w:p>
            <w:pPr>
              <w:pStyle w:val="Compact"/>
              <w:jc w:val="left"/>
            </w:pPr>
            <w:r>
              <w:t xml:space="preserve">—</w:t>
            </w:r>
          </w:p>
        </w:tc>
      </w:tr>
    </w:tbl>
    <w:bookmarkEnd w:id="22"/>
    <w:bookmarkStart w:id="23" w:name="correspondance-des-séquences"/>
    <w:p>
      <w:pPr>
        <w:pStyle w:val="Heading2"/>
      </w:pPr>
      <w:r>
        <w:t xml:space="preserve">2. Correspondance des séquences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Progression présentée</w:t>
            </w:r>
          </w:p>
        </w:tc>
        <w:tc>
          <w:tcPr/>
          <w:p>
            <w:pPr>
              <w:pStyle w:val="Compact"/>
              <w:jc w:val="left"/>
            </w:pPr>
            <w:r>
              <w:t xml:space="preserve">sem.</w:t>
            </w:r>
          </w:p>
        </w:tc>
        <w:tc>
          <w:tcPr/>
          <w:p>
            <w:pPr>
              <w:pStyle w:val="Compact"/>
              <w:jc w:val="left"/>
            </w:pPr>
            <w:r>
              <w:t xml:space="preserve">Progression de l’équipe</w:t>
            </w:r>
          </w:p>
        </w:tc>
        <w:tc>
          <w:tcPr/>
          <w:p>
            <w:pPr>
              <w:pStyle w:val="Compact"/>
              <w:jc w:val="left"/>
            </w:pPr>
            <w:r>
              <w:t xml:space="preserve">sem.</w:t>
            </w:r>
          </w:p>
        </w:tc>
      </w:tr>
      <w:tr>
        <w:tc>
          <w:tcPr/>
          <w:p>
            <w:pPr>
              <w:pStyle w:val="Compact"/>
              <w:jc w:val="left"/>
            </w:pPr>
            <w:r>
              <w:t xml:space="preserve">N1 Calculer avec les nombres décimaux</w:t>
            </w:r>
          </w:p>
        </w:tc>
        <w:tc>
          <w:tcPr/>
          <w:p>
            <w:pPr>
              <w:pStyle w:val="Compact"/>
              <w:jc w:val="left"/>
            </w:pPr>
            <w:r>
              <w:t xml:space="preserve">1,5</w:t>
            </w:r>
          </w:p>
        </w:tc>
        <w:tc>
          <w:tcPr/>
          <w:p>
            <w:pPr>
              <w:pStyle w:val="Compact"/>
              <w:jc w:val="left"/>
            </w:pPr>
            <w:r>
              <w:t xml:space="preserve">N1 idem</w:t>
            </w:r>
          </w:p>
        </w:tc>
        <w:tc>
          <w:tcPr/>
          <w:p>
            <w:pPr>
              <w:pStyle w:val="Compact"/>
              <w:jc w:val="left"/>
            </w:pPr>
            <w:r>
              <w:t xml:space="preserve">1,5</w:t>
            </w:r>
          </w:p>
        </w:tc>
      </w:tr>
      <w:tr>
        <w:tc>
          <w:tcPr/>
          <w:p>
            <w:pPr>
              <w:pStyle w:val="Compact"/>
              <w:jc w:val="left"/>
            </w:pPr>
            <w:r>
              <w:t xml:space="preserve">G1 Symétries axiale et centrale</w:t>
            </w:r>
          </w:p>
        </w:tc>
        <w:tc>
          <w:tcPr/>
          <w:p>
            <w:pPr>
              <w:pStyle w:val="Compact"/>
              <w:jc w:val="left"/>
            </w:pPr>
            <w:r>
              <w:t xml:space="preserve">2</w:t>
            </w:r>
          </w:p>
        </w:tc>
        <w:tc>
          <w:tcPr/>
          <w:p>
            <w:pPr>
              <w:pStyle w:val="Compact"/>
              <w:jc w:val="left"/>
            </w:pPr>
            <w:r>
              <w:t xml:space="preserve">G1 idem</w:t>
            </w:r>
          </w:p>
        </w:tc>
        <w:tc>
          <w:tcPr/>
          <w:p>
            <w:pPr>
              <w:pStyle w:val="Compact"/>
              <w:jc w:val="left"/>
            </w:pPr>
            <w:r>
              <w:t xml:space="preserve">2</w:t>
            </w:r>
          </w:p>
        </w:tc>
      </w:tr>
      <w:tr>
        <w:tc>
          <w:tcPr/>
          <w:p>
            <w:pPr>
              <w:pStyle w:val="Compact"/>
              <w:jc w:val="left"/>
            </w:pPr>
            <w:r>
              <w:t xml:space="preserve">N2 Écrire et utiliser une expression littérale</w:t>
            </w:r>
          </w:p>
        </w:tc>
        <w:tc>
          <w:tcPr/>
          <w:p>
            <w:pPr>
              <w:pStyle w:val="Compact"/>
              <w:jc w:val="left"/>
            </w:pPr>
            <w:r>
              <w:t xml:space="preserve">2</w:t>
            </w:r>
          </w:p>
        </w:tc>
        <w:tc>
          <w:tcPr/>
          <w:p>
            <w:pPr>
              <w:pStyle w:val="Compact"/>
              <w:jc w:val="left"/>
            </w:pPr>
            <w:r>
              <w:t xml:space="preserve">N2 idem</w:t>
            </w:r>
          </w:p>
        </w:tc>
        <w:tc>
          <w:tcPr/>
          <w:p>
            <w:pPr>
              <w:pStyle w:val="Compact"/>
              <w:jc w:val="left"/>
            </w:pPr>
            <w:r>
              <w:t xml:space="preserve">2</w:t>
            </w:r>
          </w:p>
        </w:tc>
      </w:tr>
      <w:tr>
        <w:tc>
          <w:tcPr/>
          <w:p>
            <w:pPr>
              <w:pStyle w:val="Compact"/>
              <w:jc w:val="left"/>
            </w:pPr>
            <w:r>
              <w:t xml:space="preserve">G2 Solides : cylindre et prisme droit</w:t>
            </w:r>
          </w:p>
        </w:tc>
        <w:tc>
          <w:tcPr/>
          <w:p>
            <w:pPr>
              <w:pStyle w:val="Compact"/>
              <w:jc w:val="left"/>
            </w:pPr>
            <w:r>
              <w:t xml:space="preserve">1,5</w:t>
            </w:r>
          </w:p>
        </w:tc>
        <w:tc>
          <w:tcPr/>
          <w:p>
            <w:pPr>
              <w:pStyle w:val="Compact"/>
              <w:jc w:val="left"/>
            </w:pPr>
            <w:r>
              <w:t xml:space="preserve">G2 1 + M2 volumes 2</w:t>
            </w:r>
          </w:p>
        </w:tc>
        <w:tc>
          <w:tcPr/>
          <w:p>
            <w:pPr>
              <w:pStyle w:val="Compact"/>
              <w:jc w:val="left"/>
            </w:pPr>
            <w:r>
              <w:t xml:space="preserve">3</w:t>
            </w:r>
          </w:p>
        </w:tc>
      </w:tr>
      <w:tr>
        <w:tc>
          <w:tcPr/>
          <w:p>
            <w:pPr>
              <w:pStyle w:val="Compact"/>
              <w:jc w:val="left"/>
            </w:pPr>
            <w:r>
              <w:t xml:space="preserve">A1 Algorithmique et tableur (fil rouge)</w:t>
            </w:r>
          </w:p>
        </w:tc>
        <w:tc>
          <w:tcPr/>
          <w:p>
            <w:pPr>
              <w:pStyle w:val="Compact"/>
              <w:jc w:val="left"/>
            </w:pPr>
            <w:r>
              <w:t xml:space="preserve">0,5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N3 Fractions : comparer, additionner, soustraire</w:t>
            </w:r>
          </w:p>
        </w:tc>
        <w:tc>
          <w:tcPr/>
          <w:p>
            <w:pPr>
              <w:pStyle w:val="Compact"/>
              <w:jc w:val="left"/>
            </w:pPr>
            <w:r>
              <w:t xml:space="preserve">2</w:t>
            </w:r>
          </w:p>
        </w:tc>
        <w:tc>
          <w:tcPr/>
          <w:p>
            <w:pPr>
              <w:pStyle w:val="Compact"/>
              <w:jc w:val="left"/>
            </w:pPr>
            <w:r>
              <w:t xml:space="preserve">N3 additionner et soustraire</w:t>
            </w:r>
          </w:p>
        </w:tc>
        <w:tc>
          <w:tcPr/>
          <w:p>
            <w:pPr>
              <w:pStyle w:val="Compact"/>
              <w:jc w:val="left"/>
            </w:pPr>
            <w:r>
              <w:t xml:space="preserve">2</w:t>
            </w:r>
          </w:p>
        </w:tc>
      </w:tr>
      <w:tr>
        <w:tc>
          <w:tcPr/>
          <w:p>
            <w:pPr>
              <w:pStyle w:val="Compact"/>
              <w:jc w:val="left"/>
            </w:pPr>
            <w:r>
              <w:t xml:space="preserve">G3 Construire un triangle et ses droites remarquables</w:t>
            </w:r>
          </w:p>
        </w:tc>
        <w:tc>
          <w:tcPr/>
          <w:p>
            <w:pPr>
              <w:pStyle w:val="Compact"/>
              <w:jc w:val="left"/>
            </w:pPr>
            <w:r>
              <w:t xml:space="preserve">2</w:t>
            </w:r>
          </w:p>
        </w:tc>
        <w:tc>
          <w:tcPr/>
          <w:p>
            <w:pPr>
              <w:pStyle w:val="Compact"/>
              <w:jc w:val="left"/>
            </w:pPr>
            <w:r>
              <w:t xml:space="preserve">G3 idem</w:t>
            </w:r>
          </w:p>
        </w:tc>
        <w:tc>
          <w:tcPr/>
          <w:p>
            <w:pPr>
              <w:pStyle w:val="Compact"/>
              <w:jc w:val="left"/>
            </w:pPr>
            <w:r>
              <w:t xml:space="preserve">2</w:t>
            </w:r>
          </w:p>
        </w:tc>
      </w:tr>
      <w:tr>
        <w:tc>
          <w:tcPr/>
          <w:p>
            <w:pPr>
              <w:pStyle w:val="Compact"/>
              <w:jc w:val="left"/>
            </w:pPr>
            <w:r>
              <w:t xml:space="preserve">D1 Proportionnalité, pourcentages et échelles</w:t>
            </w:r>
          </w:p>
        </w:tc>
        <w:tc>
          <w:tcPr/>
          <w:p>
            <w:pPr>
              <w:pStyle w:val="Compact"/>
              <w:jc w:val="left"/>
            </w:pPr>
            <w:r>
              <w:t xml:space="preserve">1,5</w:t>
            </w:r>
          </w:p>
        </w:tc>
        <w:tc>
          <w:tcPr/>
          <w:p>
            <w:pPr>
              <w:pStyle w:val="Compact"/>
              <w:jc w:val="left"/>
            </w:pPr>
            <w:r>
              <w:t xml:space="preserve">D1 proportionnalité</w:t>
            </w:r>
          </w:p>
        </w:tc>
        <w:tc>
          <w:tcPr/>
          <w:p>
            <w:pPr>
              <w:pStyle w:val="Compact"/>
              <w:jc w:val="left"/>
            </w:pPr>
            <w:r>
              <w:t xml:space="preserve">2</w:t>
            </w:r>
          </w:p>
        </w:tc>
      </w:tr>
      <w:tr>
        <w:tc>
          <w:tcPr/>
          <w:p>
            <w:pPr>
              <w:pStyle w:val="Compact"/>
              <w:jc w:val="left"/>
            </w:pPr>
            <w:r>
              <w:t xml:space="preserve">G4 Symétrie centrale : construire et démontrer</w:t>
            </w:r>
          </w:p>
        </w:tc>
        <w:tc>
          <w:tcPr/>
          <w:p>
            <w:pPr>
              <w:pStyle w:val="Compact"/>
              <w:jc w:val="left"/>
            </w:pPr>
            <w:r>
              <w:t xml:space="preserve">1</w:t>
            </w:r>
          </w:p>
        </w:tc>
        <w:tc>
          <w:tcPr/>
          <w:p>
            <w:pPr>
              <w:pStyle w:val="Compact"/>
              <w:jc w:val="left"/>
            </w:pPr>
            <w:r>
              <w:t xml:space="preserve">G4 idem</w:t>
            </w:r>
          </w:p>
        </w:tc>
        <w:tc>
          <w:tcPr/>
          <w:p>
            <w:pPr>
              <w:pStyle w:val="Compact"/>
              <w:jc w:val="left"/>
            </w:pPr>
            <w:r>
              <w:t xml:space="preserve">1</w:t>
            </w:r>
          </w:p>
        </w:tc>
      </w:tr>
      <w:tr>
        <w:tc>
          <w:tcPr/>
          <w:p>
            <w:pPr>
              <w:pStyle w:val="Compact"/>
              <w:jc w:val="left"/>
            </w:pPr>
            <w:r>
              <w:t xml:space="preserve">N4 Découvrir, repérer et comparer les nombres relatifs</w:t>
            </w:r>
          </w:p>
        </w:tc>
        <w:tc>
          <w:tcPr/>
          <w:p>
            <w:pPr>
              <w:pStyle w:val="Compact"/>
              <w:jc w:val="left"/>
            </w:pPr>
            <w:r>
              <w:t xml:space="preserve">2</w:t>
            </w:r>
          </w:p>
        </w:tc>
        <w:tc>
          <w:tcPr/>
          <w:p>
            <w:pPr>
              <w:pStyle w:val="Compact"/>
              <w:jc w:val="left"/>
            </w:pPr>
            <w:r>
              <w:t xml:space="preserve">N4 idem</w:t>
            </w:r>
          </w:p>
        </w:tc>
        <w:tc>
          <w:tcPr/>
          <w:p>
            <w:pPr>
              <w:pStyle w:val="Compact"/>
              <w:jc w:val="left"/>
            </w:pPr>
            <w:r>
              <w:t xml:space="preserve">2</w:t>
            </w:r>
          </w:p>
        </w:tc>
      </w:tr>
      <w:tr>
        <w:tc>
          <w:tcPr/>
          <w:p>
            <w:pPr>
              <w:pStyle w:val="Compact"/>
              <w:jc w:val="left"/>
            </w:pPr>
            <w:r>
              <w:t xml:space="preserve">G5 Angles, droites parallèles et somme des angles</w:t>
            </w:r>
          </w:p>
        </w:tc>
        <w:tc>
          <w:tcPr/>
          <w:p>
            <w:pPr>
              <w:pStyle w:val="Compact"/>
              <w:jc w:val="left"/>
            </w:pPr>
            <w:r>
              <w:t xml:space="preserve">1,5</w:t>
            </w:r>
          </w:p>
        </w:tc>
        <w:tc>
          <w:tcPr/>
          <w:p>
            <w:pPr>
              <w:pStyle w:val="Compact"/>
              <w:jc w:val="left"/>
            </w:pPr>
            <w:r>
              <w:t xml:space="preserve">G5 1,5 + G6 angles du triangle</w:t>
            </w:r>
          </w:p>
        </w:tc>
        <w:tc>
          <w:tcPr/>
          <w:p>
            <w:pPr>
              <w:pStyle w:val="Compact"/>
              <w:jc w:val="left"/>
            </w:pPr>
            <w:r>
              <w:t xml:space="preserve">—</w:t>
            </w:r>
          </w:p>
        </w:tc>
      </w:tr>
      <w:tr>
        <w:tc>
          <w:tcPr/>
          <w:p>
            <w:pPr>
              <w:pStyle w:val="Compact"/>
              <w:jc w:val="left"/>
            </w:pPr>
            <w:r>
              <w:t xml:space="preserve">N5 Calcul littéral : développer et factoriser</w:t>
            </w:r>
          </w:p>
        </w:tc>
        <w:tc>
          <w:tcPr/>
          <w:p>
            <w:pPr>
              <w:pStyle w:val="Compact"/>
              <w:jc w:val="left"/>
            </w:pPr>
            <w:r>
              <w:t xml:space="preserve">1</w:t>
            </w:r>
          </w:p>
        </w:tc>
        <w:tc>
          <w:tcPr/>
          <w:p>
            <w:pPr>
              <w:pStyle w:val="Compact"/>
              <w:jc w:val="left"/>
            </w:pPr>
            <w:r>
              <w:t xml:space="preserve">N5 distributivité simple</w:t>
            </w:r>
          </w:p>
        </w:tc>
        <w:tc>
          <w:tcPr/>
          <w:p>
            <w:pPr>
              <w:pStyle w:val="Compact"/>
              <w:jc w:val="left"/>
            </w:pPr>
            <w:r>
              <w:t xml:space="preserve">1,5</w:t>
            </w:r>
          </w:p>
        </w:tc>
      </w:tr>
      <w:tr>
        <w:tc>
          <w:tcPr/>
          <w:p>
            <w:pPr>
              <w:pStyle w:val="Compact"/>
              <w:jc w:val="left"/>
            </w:pPr>
            <w:r>
              <w:t xml:space="preserve">D2 Représenter la dépendance entre deux grandeurs</w:t>
            </w:r>
          </w:p>
        </w:tc>
        <w:tc>
          <w:tcPr/>
          <w:p>
            <w:pPr>
              <w:pStyle w:val="Compact"/>
              <w:jc w:val="left"/>
            </w:pPr>
            <w:r>
              <w:t xml:space="preserve">1</w:t>
            </w:r>
          </w:p>
        </w:tc>
        <w:tc>
          <w:tcPr/>
          <w:p>
            <w:pPr>
              <w:pStyle w:val="Compact"/>
              <w:jc w:val="left"/>
            </w:pPr>
            <w:r>
              <w:t xml:space="preserve">D2 aborder les fonctions</w:t>
            </w:r>
          </w:p>
        </w:tc>
        <w:tc>
          <w:tcPr/>
          <w:p>
            <w:pPr>
              <w:pStyle w:val="Compact"/>
              <w:jc w:val="left"/>
            </w:pPr>
            <w:r>
              <w:t xml:space="preserve">1</w:t>
            </w:r>
          </w:p>
        </w:tc>
      </w:tr>
      <w:tr>
        <w:tc>
          <w:tcPr/>
          <w:p>
            <w:pPr>
              <w:pStyle w:val="Compact"/>
              <w:jc w:val="left"/>
            </w:pPr>
            <w:r>
              <w:t xml:space="preserve">N6 Additionner et soustraire des nombres relatifs</w:t>
            </w:r>
          </w:p>
        </w:tc>
        <w:tc>
          <w:tcPr/>
          <w:p>
            <w:pPr>
              <w:pStyle w:val="Compact"/>
              <w:jc w:val="left"/>
            </w:pPr>
            <w:r>
              <w:t xml:space="preserve">2</w:t>
            </w:r>
          </w:p>
        </w:tc>
        <w:tc>
          <w:tcPr/>
          <w:p>
            <w:pPr>
              <w:pStyle w:val="Compact"/>
              <w:jc w:val="left"/>
            </w:pPr>
            <w:r>
              <w:t xml:space="preserve">N6 idem</w:t>
            </w:r>
          </w:p>
        </w:tc>
        <w:tc>
          <w:tcPr/>
          <w:p>
            <w:pPr>
              <w:pStyle w:val="Compact"/>
              <w:jc w:val="left"/>
            </w:pPr>
            <w:r>
              <w:t xml:space="preserve">2</w:t>
            </w:r>
          </w:p>
        </w:tc>
      </w:tr>
      <w:tr>
        <w:tc>
          <w:tcPr/>
          <w:p>
            <w:pPr>
              <w:pStyle w:val="Compact"/>
              <w:jc w:val="left"/>
            </w:pPr>
            <w:r>
              <w:t xml:space="preserve">G6 Définir, construire et reconnaître un parallélogramme</w:t>
            </w:r>
          </w:p>
        </w:tc>
        <w:tc>
          <w:tcPr/>
          <w:p>
            <w:pPr>
              <w:pStyle w:val="Compact"/>
              <w:jc w:val="left"/>
            </w:pPr>
            <w:r>
              <w:t xml:space="preserve">1,5</w:t>
            </w:r>
          </w:p>
        </w:tc>
        <w:tc>
          <w:tcPr/>
          <w:p>
            <w:pPr>
              <w:pStyle w:val="Compact"/>
              <w:jc w:val="left"/>
            </w:pPr>
            <w:r>
              <w:t xml:space="preserve">G6 idem</w:t>
            </w:r>
          </w:p>
        </w:tc>
        <w:tc>
          <w:tcPr/>
          <w:p>
            <w:pPr>
              <w:pStyle w:val="Compact"/>
              <w:jc w:val="left"/>
            </w:pPr>
            <w:r>
              <w:t xml:space="preserve">2</w:t>
            </w:r>
          </w:p>
        </w:tc>
      </w:tr>
      <w:tr>
        <w:tc>
          <w:tcPr/>
          <w:p>
            <w:pPr>
              <w:pStyle w:val="Compact"/>
              <w:jc w:val="left"/>
            </w:pPr>
            <w:r>
              <w:t xml:space="preserve">M1 Calculer des aires</w:t>
            </w:r>
          </w:p>
        </w:tc>
        <w:tc>
          <w:tcPr/>
          <w:p>
            <w:pPr>
              <w:pStyle w:val="Compact"/>
              <w:jc w:val="left"/>
            </w:pPr>
            <w:r>
              <w:t xml:space="preserve">1</w:t>
            </w:r>
          </w:p>
        </w:tc>
        <w:tc>
          <w:tcPr/>
          <w:p>
            <w:pPr>
              <w:pStyle w:val="Compact"/>
              <w:jc w:val="left"/>
            </w:pPr>
            <w:r>
              <w:t xml:space="preserve">M1 idem</w:t>
            </w:r>
          </w:p>
        </w:tc>
        <w:tc>
          <w:tcPr/>
          <w:p>
            <w:pPr>
              <w:pStyle w:val="Compact"/>
              <w:jc w:val="left"/>
            </w:pPr>
            <w:r>
              <w:t xml:space="preserve">1</w:t>
            </w:r>
          </w:p>
        </w:tc>
      </w:tr>
      <w:tr>
        <w:tc>
          <w:tcPr/>
          <w:p>
            <w:pPr>
              <w:pStyle w:val="Compact"/>
              <w:jc w:val="left"/>
            </w:pPr>
            <w:r>
              <w:t xml:space="preserve">D3 Traiter et représenter des données</w:t>
            </w:r>
          </w:p>
        </w:tc>
        <w:tc>
          <w:tcPr/>
          <w:p>
            <w:pPr>
              <w:pStyle w:val="Compact"/>
              <w:jc w:val="left"/>
            </w:pPr>
            <w:r>
              <w:t xml:space="preserve">1,5</w:t>
            </w:r>
          </w:p>
        </w:tc>
        <w:tc>
          <w:tcPr/>
          <w:p>
            <w:pPr>
              <w:pStyle w:val="Compact"/>
              <w:jc w:val="left"/>
            </w:pPr>
            <w:r>
              <w:t xml:space="preserve">D3 idem</w:t>
            </w:r>
          </w:p>
        </w:tc>
        <w:tc>
          <w:tcPr/>
          <w:p>
            <w:pPr>
              <w:pStyle w:val="Compact"/>
              <w:jc w:val="left"/>
            </w:pPr>
            <w:r>
              <w:t xml:space="preserve">2</w:t>
            </w:r>
          </w:p>
        </w:tc>
      </w:tr>
      <w:tr>
        <w:tc>
          <w:tcPr/>
          <w:p>
            <w:pPr>
              <w:pStyle w:val="Compact"/>
              <w:jc w:val="left"/>
            </w:pPr>
            <w:r>
              <w:t xml:space="preserve">N7 Calcul littéral : résoudre des équations</w:t>
            </w:r>
          </w:p>
        </w:tc>
        <w:tc>
          <w:tcPr/>
          <w:p>
            <w:pPr>
              <w:pStyle w:val="Compact"/>
              <w:jc w:val="left"/>
            </w:pPr>
            <w:r>
              <w:t xml:space="preserve">1,5</w:t>
            </w:r>
          </w:p>
        </w:tc>
        <w:tc>
          <w:tcPr/>
          <w:p>
            <w:pPr>
              <w:pStyle w:val="Compact"/>
              <w:jc w:val="left"/>
            </w:pPr>
            <w:r>
              <w:t xml:space="preserve">N7 équations du 1er degré</w:t>
            </w:r>
          </w:p>
        </w:tc>
        <w:tc>
          <w:tcPr/>
          <w:p>
            <w:pPr>
              <w:pStyle w:val="Compact"/>
              <w:jc w:val="left"/>
            </w:pPr>
            <w:r>
              <w:t xml:space="preserve">2</w:t>
            </w:r>
          </w:p>
        </w:tc>
      </w:tr>
      <w:tr>
        <w:tc>
          <w:tcPr/>
          <w:p>
            <w:pPr>
              <w:pStyle w:val="Compact"/>
              <w:jc w:val="left"/>
            </w:pPr>
            <w:r>
              <w:t xml:space="preserve">M2 Calculer des volumes</w:t>
            </w:r>
          </w:p>
        </w:tc>
        <w:tc>
          <w:tcPr/>
          <w:p>
            <w:pPr>
              <w:pStyle w:val="Compact"/>
              <w:jc w:val="left"/>
            </w:pPr>
            <w:r>
              <w:t xml:space="preserve">1</w:t>
            </w:r>
          </w:p>
        </w:tc>
        <w:tc>
          <w:tcPr/>
          <w:p>
            <w:pPr>
              <w:pStyle w:val="Compact"/>
              <w:jc w:val="left"/>
            </w:pPr>
            <w:r>
              <w:t xml:space="preserve">M2 idem</w:t>
            </w:r>
          </w:p>
        </w:tc>
        <w:tc>
          <w:tcPr/>
          <w:p>
            <w:pPr>
              <w:pStyle w:val="Compact"/>
              <w:jc w:val="left"/>
            </w:pPr>
            <w:r>
              <w:t xml:space="preserve">2</w:t>
            </w:r>
          </w:p>
        </w:tc>
      </w:tr>
      <w:tr>
        <w:tc>
          <w:tcPr/>
          <w:p>
            <w:pPr>
              <w:pStyle w:val="Compact"/>
              <w:jc w:val="left"/>
            </w:pPr>
            <w:r>
              <w:t xml:space="preserve">D4 Aborder les probabilités</w:t>
            </w:r>
          </w:p>
        </w:tc>
        <w:tc>
          <w:tcPr/>
          <w:p>
            <w:pPr>
              <w:pStyle w:val="Compact"/>
              <w:jc w:val="left"/>
            </w:pPr>
            <w:r>
              <w:t xml:space="preserve">1,5</w:t>
            </w:r>
          </w:p>
        </w:tc>
        <w:tc>
          <w:tcPr/>
          <w:p>
            <w:pPr>
              <w:pStyle w:val="Compact"/>
              <w:jc w:val="left"/>
            </w:pPr>
            <w:r>
              <w:t xml:space="preserve">D3 (bis) idem</w:t>
            </w:r>
          </w:p>
        </w:tc>
        <w:tc>
          <w:tcPr/>
          <w:p>
            <w:pPr>
              <w:pStyle w:val="Compact"/>
              <w:jc w:val="left"/>
            </w:pPr>
            <w:r>
              <w:t xml:space="preserve">2</w:t>
            </w:r>
          </w:p>
        </w:tc>
      </w:tr>
    </w:tbl>
    <w:bookmarkEnd w:id="23"/>
    <w:bookmarkStart w:id="24" w:name="Xe79f464dfaa4d5149d12dc7c52e96aa6997a178"/>
    <w:p>
      <w:pPr>
        <w:pStyle w:val="Heading2"/>
      </w:pPr>
      <w:r>
        <w:t xml:space="preserve">3. Attendus du BO 2026 sans point de chute explicite</w:t>
      </w:r>
    </w:p>
    <w:p>
      <w:pPr>
        <w:pStyle w:val="FirstParagraph"/>
      </w:pPr>
      <w:r>
        <w:t xml:space="preserve">Le tableau ci-dessous recense les objectifs du programme de 5ᵉ qui n’apparaissent pas dans le document de l’équipe. Un document de synthèse ne dit pas tout ce qui sera enseigné : une absence dans le tableau n’est pas nécessairement une absence en classe. Ces points méritent cependant d’être confirmés.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Attendu du BO 2026</w:t>
            </w:r>
          </w:p>
        </w:tc>
        <w:tc>
          <w:tcPr/>
          <w:p>
            <w:pPr>
              <w:pStyle w:val="Compact"/>
              <w:jc w:val="left"/>
            </w:pPr>
            <w:r>
              <w:t xml:space="preserve">Situation</w:t>
            </w:r>
          </w:p>
        </w:tc>
      </w:tr>
      <w:tr>
        <w:tc>
          <w:tcPr/>
          <w:p>
            <w:pPr>
              <w:pStyle w:val="Compact"/>
              <w:jc w:val="left"/>
            </w:pPr>
            <w:r>
              <w:t xml:space="preserve">Comparer des fractions</w:t>
            </w:r>
          </w:p>
        </w:tc>
        <w:tc>
          <w:tcPr/>
          <w:p>
            <w:pPr>
              <w:pStyle w:val="Compact"/>
              <w:jc w:val="left"/>
            </w:pPr>
            <w:r>
              <w:t xml:space="preserve">aucune séquence ne l’aborde</w:t>
            </w:r>
          </w:p>
        </w:tc>
      </w:tr>
      <w:tr>
        <w:tc>
          <w:tcPr/>
          <w:p>
            <w:pPr>
              <w:pStyle w:val="Compact"/>
              <w:jc w:val="left"/>
            </w:pPr>
            <w:r>
              <w:t xml:space="preserve">Définir le nombre rationnel, différentes écritures, valeur approchée</w:t>
            </w:r>
          </w:p>
        </w:tc>
        <w:tc>
          <w:tcPr/>
          <w:p>
            <w:pPr>
              <w:pStyle w:val="Compact"/>
              <w:jc w:val="left"/>
            </w:pPr>
            <w:r>
              <w:t xml:space="preserve">aucune séquence ne l’aborde</w:t>
            </w:r>
          </w:p>
        </w:tc>
      </w:tr>
      <w:tr>
        <w:tc>
          <w:tcPr/>
          <w:p>
            <w:pPr>
              <w:pStyle w:val="Compact"/>
              <w:jc w:val="left"/>
            </w:pPr>
            <w:r>
              <w:t xml:space="preserve">Diviser par un nombre décimal</w:t>
            </w:r>
          </w:p>
        </w:tc>
        <w:tc>
          <w:tcPr/>
          <w:p>
            <w:pPr>
              <w:pStyle w:val="Compact"/>
              <w:jc w:val="left"/>
            </w:pPr>
            <w:r>
              <w:t xml:space="preserve">absent</w:t>
            </w:r>
          </w:p>
        </w:tc>
      </w:tr>
      <w:tr>
        <w:tc>
          <w:tcPr/>
          <w:p>
            <w:pPr>
              <w:pStyle w:val="Compact"/>
              <w:jc w:val="left"/>
            </w:pPr>
            <w:r>
              <w:t xml:space="preserve">Critères de divisibilité par 3 et par 9</w:t>
            </w:r>
          </w:p>
        </w:tc>
        <w:tc>
          <w:tcPr/>
          <w:p>
            <w:pPr>
              <w:pStyle w:val="Compact"/>
              <w:jc w:val="left"/>
            </w:pPr>
            <w:r>
              <w:t xml:space="preserve">absent</w:t>
            </w:r>
          </w:p>
        </w:tc>
      </w:tr>
      <w:tr>
        <w:tc>
          <w:tcPr/>
          <w:p>
            <w:pPr>
              <w:pStyle w:val="Compact"/>
              <w:jc w:val="left"/>
            </w:pPr>
            <w:r>
              <w:t xml:space="preserve">Pourcentages et échelles</w:t>
            </w:r>
          </w:p>
        </w:tc>
        <w:tc>
          <w:tcPr/>
          <w:p>
            <w:pPr>
              <w:pStyle w:val="Compact"/>
              <w:jc w:val="left"/>
            </w:pPr>
            <w:r>
              <w:t xml:space="preserve">absents</w:t>
            </w:r>
          </w:p>
        </w:tc>
      </w:tr>
      <w:tr>
        <w:tc>
          <w:tcPr/>
          <w:p>
            <w:pPr>
              <w:pStyle w:val="Compact"/>
              <w:jc w:val="left"/>
            </w:pPr>
            <w:r>
              <w:t xml:space="preserve">Programmation par blocs : sept objectifs</w:t>
            </w:r>
          </w:p>
        </w:tc>
        <w:tc>
          <w:tcPr/>
          <w:p>
            <w:pPr>
              <w:pStyle w:val="Compact"/>
              <w:jc w:val="left"/>
            </w:pPr>
            <w:r>
              <w:t xml:space="preserve">« algorithmique possible en AP »</w:t>
            </w:r>
          </w:p>
        </w:tc>
      </w:tr>
      <w:tr>
        <w:tc>
          <w:tcPr/>
          <w:p>
            <w:pPr>
              <w:pStyle w:val="Compact"/>
              <w:jc w:val="left"/>
            </w:pPr>
            <w:r>
              <w:t xml:space="preserve">Mobiliser un algorithme dans le cadre du calcul numérique</w:t>
            </w:r>
          </w:p>
        </w:tc>
        <w:tc>
          <w:tcPr/>
          <w:p>
            <w:pPr>
              <w:pStyle w:val="Compact"/>
              <w:jc w:val="left"/>
            </w:pPr>
            <w:r>
              <w:t xml:space="preserve">absent</w:t>
            </w:r>
          </w:p>
        </w:tc>
      </w:tr>
      <w:tr>
        <w:tc>
          <w:tcPr/>
          <w:p>
            <w:pPr>
              <w:pStyle w:val="Compact"/>
              <w:jc w:val="left"/>
            </w:pPr>
            <w:r>
              <w:t xml:space="preserve">Démontrer une propriété générale par le calcul littéral</w:t>
            </w:r>
          </w:p>
        </w:tc>
        <w:tc>
          <w:tcPr/>
          <w:p>
            <w:pPr>
              <w:pStyle w:val="Compact"/>
              <w:jc w:val="left"/>
            </w:pPr>
            <w:r>
              <w:t xml:space="preserve">absent</w:t>
            </w:r>
          </w:p>
        </w:tc>
      </w:tr>
      <w:tr>
        <w:tc>
          <w:tcPr/>
          <w:p>
            <w:pPr>
              <w:pStyle w:val="Compact"/>
              <w:jc w:val="left"/>
            </w:pPr>
            <w:r>
              <w:t xml:space="preserve">Utiliser un contre-exemple pour réfuter une assertion</w:t>
            </w:r>
          </w:p>
        </w:tc>
        <w:tc>
          <w:tcPr/>
          <w:p>
            <w:pPr>
              <w:pStyle w:val="Compact"/>
              <w:jc w:val="left"/>
            </w:pPr>
            <w:r>
              <w:t xml:space="preserve">absent</w:t>
            </w:r>
          </w:p>
        </w:tc>
      </w:tr>
      <w:tr>
        <w:tc>
          <w:tcPr/>
          <w:p>
            <w:pPr>
              <w:pStyle w:val="Compact"/>
              <w:jc w:val="left"/>
            </w:pPr>
            <w:r>
              <w:t xml:space="preserve">Démontrer qu’une médiane partage un triangle en deux aires égales</w:t>
            </w:r>
          </w:p>
        </w:tc>
        <w:tc>
          <w:tcPr/>
          <w:p>
            <w:pPr>
              <w:pStyle w:val="Compact"/>
              <w:jc w:val="left"/>
            </w:pPr>
            <w:r>
              <w:t xml:space="preserve">absent</w:t>
            </w:r>
          </w:p>
        </w:tc>
      </w:tr>
      <w:tr>
        <w:tc>
          <w:tcPr/>
          <w:p>
            <w:pPr>
              <w:pStyle w:val="Compact"/>
              <w:jc w:val="left"/>
            </w:pPr>
            <w:r>
              <w:t xml:space="preserve">Écrire un nombre sous la forme d’une puissance 2 ou 3</w:t>
            </w:r>
          </w:p>
        </w:tc>
        <w:tc>
          <w:tcPr/>
          <w:p>
            <w:pPr>
              <w:pStyle w:val="Compact"/>
              <w:jc w:val="left"/>
            </w:pPr>
            <w:r>
              <w:t xml:space="preserve">absent</w:t>
            </w:r>
          </w:p>
        </w:tc>
      </w:tr>
      <w:tr>
        <w:tc>
          <w:tcPr/>
          <w:p>
            <w:pPr>
              <w:pStyle w:val="Compact"/>
              <w:jc w:val="left"/>
            </w:pPr>
            <w:r>
              <w:t xml:space="preserve">Les 47 automatismes</w:t>
            </w:r>
          </w:p>
        </w:tc>
        <w:tc>
          <w:tcPr/>
          <w:p>
            <w:pPr>
              <w:pStyle w:val="Compact"/>
              <w:jc w:val="left"/>
            </w:pPr>
            <w:r>
              <w:t xml:space="preserve">non traités</w:t>
            </w:r>
          </w:p>
        </w:tc>
      </w:tr>
    </w:tbl>
    <w:p>
      <w:pPr>
        <w:pStyle w:val="BodyText"/>
      </w:pPr>
      <w:r>
        <w:t xml:space="preserve">Deux de ces points appellent une attention particulière.</w:t>
      </w:r>
    </w:p>
    <w:p>
      <w:pPr>
        <w:pStyle w:val="BodyText"/>
      </w:pPr>
      <w:r>
        <w:rPr>
          <w:bCs/>
          <w:b/>
        </w:rPr>
        <w:t xml:space="preserve">La comparaison des fractions.</w:t>
      </w:r>
      <w:r>
        <w:t xml:space="preserve"> </w:t>
      </w:r>
      <w:r>
        <w:t xml:space="preserve">Le chapitre de l’équipe enchaîne directement sur l’addition à dénominateurs quelconques. Or comparer</w:t>
      </w:r>
      <w:r>
        <w:t xml:space="preserve"> </w:t>
      </w:r>
      <w:r>
        <w:rPr>
          <w:iCs/>
          <w:i/>
        </w:rPr>
        <w:t xml:space="preserve">3/4</w:t>
      </w:r>
      <w:r>
        <w:t xml:space="preserve"> </w:t>
      </w:r>
      <w:r>
        <w:t xml:space="preserve">et</w:t>
      </w:r>
      <w:r>
        <w:t xml:space="preserve"> </w:t>
      </w:r>
      <w:r>
        <w:rPr>
          <w:iCs/>
          <w:i/>
        </w:rPr>
        <w:t xml:space="preserve">2/3</w:t>
      </w:r>
      <w:r>
        <w:t xml:space="preserve"> </w:t>
      </w:r>
      <w:r>
        <w:t xml:space="preserve">et calculer</w:t>
      </w:r>
      <w:r>
        <w:t xml:space="preserve"> </w:t>
      </w:r>
      <w:r>
        <w:rPr>
          <w:iCs/>
          <w:i/>
        </w:rPr>
        <w:t xml:space="preserve">3/4-11/6</w:t>
      </w:r>
      <w:r>
        <w:t xml:space="preserve"> </w:t>
      </w:r>
      <w:r>
        <w:t xml:space="preserve">mobilisent le même geste : réduire au même dénominateur lorsqu’aucun n’est multiple de l’autre. La comparaison est le terrain où cette recherche prend du sens avant de servir au calcul ; la contourner revient à présenter la réduction comme une procédure.</w:t>
      </w:r>
    </w:p>
    <w:p>
      <w:pPr>
        <w:pStyle w:val="BodyText"/>
      </w:pPr>
      <w:r>
        <w:rPr>
          <w:bCs/>
          <w:b/>
        </w:rPr>
        <w:t xml:space="preserve">L’algorithmique.</w:t>
      </w:r>
      <w:r>
        <w:t xml:space="preserve"> </w:t>
      </w:r>
      <w:r>
        <w:t xml:space="preserve">Le sommaire annonce une rubrique « Algorithmique, GeoGebra et Tableur », mais aucune séquence ne lui correspond. Huit objectifs reposent ainsi sur du temps non identifié dans le calendrier.</w:t>
      </w:r>
    </w:p>
    <w:bookmarkEnd w:id="24"/>
    <w:bookmarkStart w:id="25" w:name="X147e539e6dcfba15d5c5fd9648794a4db7acdeb"/>
    <w:p>
      <w:pPr>
        <w:pStyle w:val="Heading2"/>
      </w:pPr>
      <w:r>
        <w:t xml:space="preserve">4. Deux formulations à recaler sur le programme</w:t>
      </w:r>
    </w:p>
    <w:p>
      <w:pPr>
        <w:pStyle w:val="FirstParagraph"/>
      </w:pPr>
      <w:r>
        <w:rPr>
          <w:bCs/>
          <w:b/>
        </w:rPr>
        <w:t xml:space="preserve">La réduction d’expression.</w:t>
      </w:r>
      <w:r>
        <w:t xml:space="preserve"> </w:t>
      </w:r>
      <w:r>
        <w:t xml:space="preserve">Le document de l’équipe indique « réduire des expressions de type</w:t>
      </w:r>
      <w:r>
        <w:t xml:space="preserve"> </w:t>
      </w:r>
      <w:r>
        <w:rPr>
          <w:iCs/>
          <w:i/>
        </w:rPr>
        <w:t xml:space="preserve">ax+bx</w:t>
      </w:r>
      <w:r>
        <w:t xml:space="preserve"> </w:t>
      </w:r>
      <w:r>
        <w:t xml:space="preserve">». Le BO 2026 demande</w:t>
      </w:r>
      <w:r>
        <w:t xml:space="preserve"> </w:t>
      </w:r>
      <w:r>
        <w:rPr>
          <w:iCs/>
          <w:i/>
        </w:rPr>
        <w:t xml:space="preserve">ax+b</w:t>
      </w:r>
      <w:r>
        <w:t xml:space="preserve">, où</w:t>
      </w:r>
      <w:r>
        <w:t xml:space="preserve"> </w:t>
      </w:r>
      <w:r>
        <w:rPr>
          <w:iCs/>
          <w:i/>
        </w:rPr>
        <w:t xml:space="preserve">a</w:t>
      </w:r>
      <w:r>
        <w:t xml:space="preserve"> </w:t>
      </w:r>
      <w:r>
        <w:t xml:space="preserve">et</w:t>
      </w:r>
      <w:r>
        <w:t xml:space="preserve"> </w:t>
      </w:r>
      <w:r>
        <w:rPr>
          <w:iCs/>
          <w:i/>
        </w:rPr>
        <w:t xml:space="preserve">b</w:t>
      </w:r>
      <w:r>
        <w:t xml:space="preserve"> </w:t>
      </w:r>
      <w:r>
        <w:t xml:space="preserve">sont des nombres décimaux. Les deux tâches ne présentent ni la même difficulté ni le même enjeu.</w:t>
      </w:r>
    </w:p>
    <w:p>
      <w:pPr>
        <w:pStyle w:val="BodyText"/>
      </w:pPr>
      <w:r>
        <w:rPr>
          <w:bCs/>
          <w:b/>
        </w:rPr>
        <w:t xml:space="preserve">Les équations.</w:t>
      </w:r>
      <w:r>
        <w:t xml:space="preserve"> </w:t>
      </w:r>
      <w:r>
        <w:t xml:space="preserve">L’intitulé « aborder les équations du 1er degré » et l’objectif « résoudre une équation du 1er degré » débordent le programme de 5ᵉ, qui se limite explicitement à</w:t>
      </w:r>
      <w:r>
        <w:t xml:space="preserve"> </w:t>
      </w:r>
      <w:r>
        <w:rPr>
          <w:iCs/>
          <w:i/>
        </w:rPr>
        <w:t xml:space="preserve">ax=c</w:t>
      </w:r>
      <w:r>
        <w:t xml:space="preserve"> </w:t>
      </w:r>
      <w:r>
        <w:t xml:space="preserve">et</w:t>
      </w:r>
      <w:r>
        <w:t xml:space="preserve"> </w:t>
      </w:r>
      <w:r>
        <w:rPr>
          <w:iCs/>
          <w:i/>
        </w:rPr>
        <w:t xml:space="preserve">x+b=c</w:t>
      </w:r>
      <w:r>
        <w:t xml:space="preserve">, résolues par les opérations inverses. Le cas</w:t>
      </w:r>
      <w:r>
        <w:t xml:space="preserve"> </w:t>
      </w:r>
      <w:r>
        <w:rPr>
          <w:iCs/>
          <w:i/>
        </w:rPr>
        <w:t xml:space="preserve">ax+b=c</w:t>
      </w:r>
      <w:r>
        <w:t xml:space="preserve"> </w:t>
      </w:r>
      <w:r>
        <w:t xml:space="preserve">relève de la 4ᵉ.</w:t>
      </w:r>
    </w:p>
    <w:p>
      <w:pPr>
        <w:pStyle w:val="BodyText"/>
      </w:pPr>
      <w:r>
        <w:rPr>
          <w:bCs/>
          <w:b/>
        </w:rPr>
        <w:t xml:space="preserve">La notion de fonction.</w:t>
      </w:r>
      <w:r>
        <w:t xml:space="preserve"> </w:t>
      </w:r>
      <w:r>
        <w:t xml:space="preserve">Le chapitre intitulé « Aborder les fonctions » annonce un objet mathématique qui n’est pas au programme de 5ᵉ : image, antécédent et notation</w:t>
      </w:r>
      <w:r>
        <w:t xml:space="preserve"> </w:t>
      </w:r>
      <w:r>
        <w:rPr>
          <w:iCs/>
          <w:i/>
        </w:rPr>
        <w:t xml:space="preserve">f(x)</w:t>
      </w:r>
      <w:r>
        <w:t xml:space="preserve"> </w:t>
      </w:r>
      <w:r>
        <w:t xml:space="preserve">relèvent d’une étape ultérieure du cycle 4. Le programme demande seulement d’introduire la formulation « en fonction de » et de faire circuler une même dépendance entre formule, tableau et graphique. C’est la raison pour laquelle la séquence correspondante est ici intitulée « Représenter la dépendance entre deux grandeurs ».</w:t>
      </w:r>
    </w:p>
    <w:bookmarkEnd w:id="25"/>
    <w:bookmarkStart w:id="26" w:name="Xa3c1c4f03587f7a9f6247c301dfb3938438565a"/>
    <w:p>
      <w:pPr>
        <w:pStyle w:val="Heading2"/>
      </w:pPr>
      <w:r>
        <w:t xml:space="preserve">5. Différences de placement, sans enjeu de conformité</w:t>
      </w:r>
    </w:p>
    <w:p>
      <w:pPr>
        <w:pStyle w:val="FirstParagraph"/>
      </w:pPr>
      <w:r>
        <w:rPr>
          <w:bCs/>
          <w:b/>
        </w:rPr>
        <w:t xml:space="preserve">Les trois registres de la dépendance.</w:t>
      </w:r>
      <w:r>
        <w:t xml:space="preserve"> </w:t>
      </w:r>
      <w:r>
        <w:t xml:space="preserve">La progression de l’équipe les concentre dans une séquence unique. La progression présentée les répartit là où ils servent : la formule est produite avec l’expression littérale en septembre, le tableau de valeurs accompagne la proportionnalité en novembre, le graphique arrive en février, après l’introduction du repérage dans le plan. La séquence D2 assure alors explicitement l’articulation entre les trois.</w:t>
      </w:r>
    </w:p>
    <w:p>
      <w:pPr>
        <w:pStyle w:val="BodyText"/>
      </w:pPr>
      <w:r>
        <w:rPr>
          <w:bCs/>
          <w:b/>
        </w:rPr>
        <w:t xml:space="preserve">Les grandeurs.</w:t>
      </w:r>
      <w:r>
        <w:t xml:space="preserve"> </w:t>
      </w:r>
      <w:r>
        <w:t xml:space="preserve">L’équipe en fait deux séquences autonomes, aires puis volumes. La progression présentée conserve ce découpage, avec les aires placées immédiatement après la construction du parallélogramme — l’aire se démontrant à partir de cette construction — et les volumes au retour des vacances de printemps.</w:t>
      </w:r>
    </w:p>
    <w:p>
      <w:pPr>
        <w:pStyle w:val="BodyText"/>
      </w:pPr>
      <w:r>
        <w:rPr>
          <w:bCs/>
          <w:b/>
        </w:rPr>
        <w:t xml:space="preserve">Les durées de fin d’année.</w:t>
      </w:r>
      <w:r>
        <w:t xml:space="preserve"> </w:t>
      </w:r>
      <w:r>
        <w:t xml:space="preserve">L’équipe accorde 2 semaines au traitement de données, aux volumes, aux équations et aux probabilités. La progression présentée retient 1,5 semaine pour trois d’entre elles, afin de conserver une semaine de réserve en juin.</w:t>
      </w:r>
    </w:p>
    <w:p>
      <w:pPr>
        <w:pStyle w:val="BodyText"/>
      </w:pPr>
      <w:r>
        <w:rPr>
          <w:bCs/>
          <w:b/>
        </w:rPr>
        <w:t xml:space="preserve">Les fractions.</w:t>
      </w:r>
      <w:r>
        <w:t xml:space="preserve"> </w:t>
      </w:r>
      <w:r>
        <w:t xml:space="preserve">Les deux progressions les traitent en un seul chapitre, placé en novembre. La progression présentée y intègre en outre la comparaison, les critères de divisibilité et la consolidation de la simplification, en appui sur le chapitre de 6ᵉ actualisé au nouveau programme.</w:t>
      </w:r>
    </w:p>
    <w:bookmarkEnd w:id="26"/>
    <w:bookmarkStart w:id="27" w:name="X0d556383e738bfcf353211ca478a8c181400114"/>
    <w:p>
      <w:pPr>
        <w:pStyle w:val="Heading2"/>
      </w:pPr>
      <w:r>
        <w:t xml:space="preserve">6. Points de forme relevés dans le document de l’équipe</w:t>
      </w:r>
    </w:p>
    <w:p>
      <w:pPr>
        <w:numPr>
          <w:ilvl w:val="0"/>
          <w:numId w:val="1001"/>
        </w:numPr>
        <w:pStyle w:val="Compact"/>
      </w:pPr>
      <w:r>
        <w:t xml:space="preserve">Deux séquences portent le même code D3 : « Traiter et représenter des données » et « Aborder les probabilités ».</w:t>
      </w:r>
    </w:p>
    <w:p>
      <w:pPr>
        <w:numPr>
          <w:ilvl w:val="0"/>
          <w:numId w:val="1001"/>
        </w:numPr>
        <w:pStyle w:val="Compact"/>
      </w:pPr>
      <w:r>
        <w:t xml:space="preserve">Les codes de compétences sont employés avec deux significations différentes selon les séquences : Ch2 désigne tantôt l’extraction d’informations, tantôt l’engagement dans une démarche scientifique ; Ca2 tantôt le calcul en langage algébrique, tantôt le contrôle de la vraisemblance. Un référentiel commun aux trois progressions lèverait l’ambiguïté.</w:t>
      </w:r>
    </w:p>
    <w:p>
      <w:pPr>
        <w:numPr>
          <w:ilvl w:val="0"/>
          <w:numId w:val="1001"/>
        </w:numPr>
        <w:pStyle w:val="Compact"/>
      </w:pPr>
      <w:r>
        <w:t xml:space="preserve">La marge d’une semaine sur l’année et l’absence de semaine banalisée rendent la fin de programme difficile à tenir si le voyage de niveau tombe avant les vacances de printemps.</w:t>
      </w:r>
    </w:p>
    <w:bookmarkEnd w:id="27"/>
    <w:bookmarkStart w:id="28" w:name="points-à-trancher-en-équipe"/>
    <w:p>
      <w:pPr>
        <w:pStyle w:val="Heading2"/>
      </w:pPr>
      <w:r>
        <w:t xml:space="preserve">7. Points à trancher en équipe</w:t>
      </w:r>
    </w:p>
    <w:p>
      <w:pPr>
        <w:numPr>
          <w:ilvl w:val="0"/>
          <w:numId w:val="1002"/>
        </w:numPr>
        <w:pStyle w:val="Compact"/>
      </w:pPr>
      <w:r>
        <w:rPr>
          <w:bCs/>
          <w:b/>
        </w:rPr>
        <w:t xml:space="preserve">Les quatre attendus sans point de chute</w:t>
      </w:r>
      <w:r>
        <w:t xml:space="preserve"> </w:t>
      </w:r>
      <w:r>
        <w:t xml:space="preserve">: comparaison des fractions, pourcentages et échelles, critères de divisibilité par 3 et par 9, algorithmique. Relèvent du programme, non de la préférence.</w:t>
      </w:r>
    </w:p>
    <w:p>
      <w:pPr>
        <w:numPr>
          <w:ilvl w:val="0"/>
          <w:numId w:val="1002"/>
        </w:numPr>
        <w:pStyle w:val="Compact"/>
      </w:pPr>
      <w:r>
        <w:rPr>
          <w:bCs/>
          <w:b/>
        </w:rPr>
        <w:t xml:space="preserve">Les deux recalages d’énoncé</w:t>
      </w:r>
      <w:r>
        <w:t xml:space="preserve"> </w:t>
      </w:r>
      <w:r>
        <w:t xml:space="preserve">:</w:t>
      </w:r>
      <w:r>
        <w:t xml:space="preserve"> </w:t>
      </w:r>
      <w:r>
        <w:rPr>
          <w:iCs/>
          <w:i/>
        </w:rPr>
        <w:t xml:space="preserve">ax+b</w:t>
      </w:r>
      <w:r>
        <w:t xml:space="preserve"> </w:t>
      </w:r>
      <w:r>
        <w:t xml:space="preserve">et non</w:t>
      </w:r>
      <w:r>
        <w:t xml:space="preserve"> </w:t>
      </w:r>
      <w:r>
        <w:rPr>
          <w:iCs/>
          <w:i/>
        </w:rPr>
        <w:t xml:space="preserve">ax+bx</w:t>
      </w:r>
      <w:r>
        <w:t xml:space="preserve"> </w:t>
      </w:r>
      <w:r>
        <w:t xml:space="preserve">;</w:t>
      </w:r>
      <w:r>
        <w:t xml:space="preserve"> </w:t>
      </w:r>
      <w:r>
        <w:rPr>
          <w:iCs/>
          <w:i/>
        </w:rPr>
        <w:t xml:space="preserve">ax=c</w:t>
      </w:r>
      <w:r>
        <w:t xml:space="preserve"> </w:t>
      </w:r>
      <w:r>
        <w:t xml:space="preserve">et</w:t>
      </w:r>
      <w:r>
        <w:t xml:space="preserve"> </w:t>
      </w:r>
      <w:r>
        <w:rPr>
          <w:iCs/>
          <w:i/>
        </w:rPr>
        <w:t xml:space="preserve">x+b=c</w:t>
      </w:r>
      <w:r>
        <w:t xml:space="preserve"> </w:t>
      </w:r>
      <w:r>
        <w:t xml:space="preserve">et non l’équation du 1er degré.</w:t>
      </w:r>
    </w:p>
    <w:p>
      <w:pPr>
        <w:numPr>
          <w:ilvl w:val="0"/>
          <w:numId w:val="1002"/>
        </w:numPr>
        <w:pStyle w:val="Compact"/>
      </w:pPr>
      <w:r>
        <w:rPr>
          <w:bCs/>
          <w:b/>
        </w:rPr>
        <w:t xml:space="preserve">L’intitulé du chapitre sur les fonctions</w:t>
      </w:r>
      <w:r>
        <w:t xml:space="preserve">, qui annonce une notion hors programme de 5ᵉ.</w:t>
      </w:r>
    </w:p>
    <w:p>
      <w:pPr>
        <w:numPr>
          <w:ilvl w:val="0"/>
          <w:numId w:val="1002"/>
        </w:numPr>
        <w:pStyle w:val="Compact"/>
      </w:pPr>
      <w:r>
        <w:rPr>
          <w:bCs/>
          <w:b/>
        </w:rPr>
        <w:t xml:space="preserve">Un référencement commun au BO</w:t>
      </w:r>
      <w:r>
        <w:t xml:space="preserve">, objectif par objectif, permettant de vérifier la couverture avant la rentrée plutôt qu’en fin d’année.</w:t>
      </w:r>
    </w:p>
    <w:p>
      <w:pPr>
        <w:numPr>
          <w:ilvl w:val="0"/>
          <w:numId w:val="1002"/>
        </w:numPr>
        <w:pStyle w:val="Compact"/>
      </w:pPr>
      <w:r>
        <w:rPr>
          <w:bCs/>
          <w:b/>
        </w:rPr>
        <w:t xml:space="preserve">Une semaine banalisée pour le voyage</w:t>
      </w:r>
      <w:r>
        <w:t xml:space="preserve"> </w:t>
      </w:r>
      <w:r>
        <w:t xml:space="preserve">réservée dans les trois progressions.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2026-09-27T09:32:06Z</dcterms:created>
  <dcterms:modified xsi:type="dcterms:W3CDTF">2026-09-27T09:32:06Z</dcterms:modified>
</cp:coreProperties>
</file>

<file path=docProps/custom.xml><?xml version="1.0" encoding="utf-8"?>
<Properties xmlns="http://schemas.openxmlformats.org/officeDocument/2006/custom-properties" xmlns:vt="http://schemas.openxmlformats.org/officeDocument/2006/docPropsVTypes"/>
</file>