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4E71"/>
          <w:sz w:val="44"/>
          <w:szCs w:val="44"/>
        </w:rPr>
        <w:t xml:space="preserve">Carnet d'enveloppes</w:t>
      </w:r>
    </w:p>
    <w:p>
      <w:pPr>
        <w:pBdr>
          <w:bottom w:val="single" w:color="B84A5E" w:sz="6"/>
        </w:pBdr>
        <w:spacing w:after="40"/>
      </w:pPr>
      <w:r>
        <w:rPr>
          <w:color w:val="33303F"/>
          <w:sz w:val="26"/>
          <w:szCs w:val="26"/>
        </w:rPr>
        <w:t xml:space="preserve">Mode opératoire</w:t>
      </w:r>
    </w:p>
    <w:p>
      <w:pPr>
        <w:spacing w:after="300"/>
      </w:pPr>
      <w:r>
        <w:rPr>
          <w:b w:val="false"/>
          <w:bCs w:val="false"/>
          <w:i/>
          <w:iCs/>
          <w:color w:val="6D6779"/>
          <w:sz w:val="21"/>
          <w:szCs w:val="21"/>
        </w:rPr>
        <w:t xml:space="preserve">Version du 29 juillet 2026 — fichier mon-carnet-enveloppes.html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3EFF3" w:val="clear"/>
            <w:tcMar>
              <w:top w:type="dxa" w:w="160"/>
              <w:left w:type="dxa" w:w="200"/>
              <w:bottom w:type="dxa" w:w="160"/>
              <w:right w:type="dxa" w:w="200"/>
            </w:tcMar>
          </w:tcPr>
          <w:p>
            <w:pPr>
              <w:spacing w:after="90"/>
            </w:pPr>
            <w:r>
              <w:rPr>
                <w:b/>
                <w:bCs/>
                <w:color w:val="6B4E71"/>
                <w:sz w:val="21"/>
                <w:szCs w:val="21"/>
              </w:rPr>
              <w:t xml:space="preserve">Le principe en trois phrases</w:t>
            </w:r>
          </w:p>
          <w:p>
            <w:pPr>
              <w:spacing w:after="60"/>
            </w:pPr>
            <w:r>
              <w:rPr>
                <w:color w:val="33303F"/>
                <w:sz w:val="20"/>
                <w:szCs w:val="20"/>
              </w:rPr>
              <w:t xml:space="preserve">Ce que tu peux dépenser librement, c'est ce qui reste une fois les charges fixes payées, les crédits prélevés et l'épargne des projets mise de côté. Le carnet calcule ce reste et te le montre en un chiffre.</w:t>
            </w:r>
          </w:p>
          <w:p>
            <w:pPr>
              <w:spacing w:after="60"/>
            </w:pPr>
            <w:r>
              <w:rPr>
                <w:color w:val="33303F"/>
                <w:sz w:val="20"/>
                <w:szCs w:val="20"/>
              </w:rPr>
              <w:t xml:space="preserve">Chaque projet est une enveloppe : tu donnes un objectif et une date, il en déduit combien y glisser chaque mois.</w:t>
            </w:r>
          </w:p>
          <w:p>
            <w:pPr>
              <w:spacing w:after="60"/>
            </w:pPr>
            <w:r>
              <w:rPr>
                <w:color w:val="33303F"/>
                <w:sz w:val="20"/>
                <w:szCs w:val="20"/>
              </w:rPr>
              <w:t xml:space="preserve">Le carnet ne se connecte à aucune banque. Il ne sait que ce que tu lui donnes, et il garde tout en local.</w:t>
            </w:r>
          </w:p>
        </w:tc>
      </w:tr>
    </w:tbl>
    <w:p>
      <w:pPr>
        <w:spacing w:after="240"/>
      </w:pPr>
      <w:r>
        <w:rPr>
          <w:b w:val="false"/>
          <w:bCs w:val="false"/>
          <w:i w:val="false"/>
          <w:iCs w:val="false"/>
          <w:color w:val="33303F"/>
          <w:sz w:val="21"/>
          <w:szCs w:val="21"/>
        </w:rPr>
        <w:t xml:space="preserve"/>
      </w:r>
    </w:p>
    <w:p>
      <w:pPr>
        <w:pStyle w:val="Heading1"/>
        <w:spacing w:after="140" w:before="360"/>
      </w:pPr>
      <w:r>
        <w:rPr>
          <w:b/>
          <w:bCs/>
          <w:color w:val="6B4E71"/>
          <w:sz w:val="30"/>
          <w:szCs w:val="30"/>
        </w:rPr>
        <w:t xml:space="preserve">1. La mise en route (une seule fois, 30 minutes)</w:t>
      </w:r>
    </w:p>
    <w:p>
      <w:pPr>
        <w:spacing w:after="120"/>
      </w:pPr>
      <w:r>
        <w:rPr>
          <w:b w:val="false"/>
          <w:bCs w:val="false"/>
          <w:i w:val="false"/>
          <w:iCs w:val="false"/>
          <w:color w:val="33303F"/>
          <w:sz w:val="21"/>
          <w:szCs w:val="21"/>
        </w:rPr>
        <w:t xml:space="preserve">Le carnet arrive déjà rempli avec ta configuration issue d'Okane_2025 : tes 16 charges fixes, tes 15 postes de dépenses variables, tes crédits. Il reste six choses à faire, dans cet ordre.</w:t>
      </w:r>
    </w:p>
    <w:p>
      <w:pPr>
        <w:pStyle w:val="ListParagraph"/>
        <w:numPr>
          <w:ilvl w:val="0"/>
          <w:numId w:val="2"/>
        </w:numPr>
        <w:spacing w:after="70"/>
      </w:pPr>
      <w:r>
        <w:rPr>
          <w:color w:val="33303F"/>
          <w:sz w:val="21"/>
          <w:szCs w:val="21"/>
        </w:rPr>
        <w:t xml:space="preserve">Onglet Comptes → Réglages : vérifie les revenus mensuels du foyer (6 749 € pré-saisis, soit tes salaires + ISFEC + allocations) et le jour de la paie.</w:t>
      </w:r>
    </w:p>
    <w:p>
      <w:pPr>
        <w:pStyle w:val="ListParagraph"/>
        <w:numPr>
          <w:ilvl w:val="0"/>
          <w:numId w:val="2"/>
        </w:numPr>
        <w:spacing w:after="70"/>
      </w:pPr>
      <w:r>
        <w:rPr>
          <w:color w:val="33303F"/>
          <w:sz w:val="21"/>
          <w:szCs w:val="21"/>
        </w:rPr>
        <w:t xml:space="preserve">Onglet Comptes : saisis le solde actuel de chaque compte. Renomme le deuxième compte perso, il porte un nom provisoire.</w:t>
      </w:r>
    </w:p>
    <w:p>
      <w:pPr>
        <w:pStyle w:val="ListParagraph"/>
        <w:numPr>
          <w:ilvl w:val="0"/>
          <w:numId w:val="2"/>
        </w:numPr>
        <w:spacing w:after="70"/>
      </w:pPr>
      <w:r>
        <w:rPr>
          <w:color w:val="33303F"/>
          <w:sz w:val="21"/>
          <w:szCs w:val="21"/>
        </w:rPr>
        <w:t xml:space="preserve">Onglet Comptes → Charges fixes : les montants viennent de ton prévisionnel 2025, actualise ceux qui ont bougé. N'y mets jamais une mensualité de crédit, elle arrive toute seule de l'onglet Crédits.</w:t>
      </w:r>
    </w:p>
    <w:p>
      <w:pPr>
        <w:pStyle w:val="ListParagraph"/>
        <w:numPr>
          <w:ilvl w:val="0"/>
          <w:numId w:val="2"/>
        </w:numPr>
        <w:spacing w:after="70"/>
      </w:pPr>
      <w:r>
        <w:rPr>
          <w:color w:val="33303F"/>
          <w:sz w:val="21"/>
          <w:szCs w:val="21"/>
        </w:rPr>
        <w:t xml:space="preserve">Onglet Crédits : pour chaque prêt, corrige le capital restant dû (les valeurs pré-saisies datent de 2025) et surtout le taux du crédit immobilier, que j'ai mis à 1,5 % faute de l'avoir dans ton relevé. Coche « ce crédit porte sur l'appartement » pour l'immo et le PTZ seulement.</w:t>
      </w:r>
    </w:p>
    <w:p>
      <w:pPr>
        <w:pStyle w:val="ListParagraph"/>
        <w:numPr>
          <w:ilvl w:val="0"/>
          <w:numId w:val="2"/>
        </w:numPr>
        <w:spacing w:after="70"/>
      </w:pPr>
      <w:r>
        <w:rPr>
          <w:color w:val="33303F"/>
          <w:sz w:val="21"/>
          <w:szCs w:val="21"/>
        </w:rPr>
        <w:t xml:space="preserve">Onglet Crédits → Réglages de revente : valeur estimée de l'appartement, frais d'agence, revalorisation annuelle. Laisse la revalorisation à 0 tant que tu n'as pas d'estimation sérieuse.</w:t>
      </w:r>
    </w:p>
    <w:p>
      <w:pPr>
        <w:pStyle w:val="ListParagraph"/>
        <w:numPr>
          <w:ilvl w:val="0"/>
          <w:numId w:val="2"/>
        </w:numPr>
        <w:spacing w:after="70"/>
      </w:pPr>
      <w:r>
        <w:rPr>
          <w:color w:val="33303F"/>
          <w:sz w:val="21"/>
          <w:szCs w:val="21"/>
        </w:rPr>
        <w:t xml:space="preserve">Onglet Enveloppes : ajuste les objectifs et les dates des cinq enveloppes. Coche « compter dans l'apport pour la maison » uniquement sur celles qui financeront vraiment l'achat.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3EFF3" w:val="clear"/>
            <w:tcMar>
              <w:top w:type="dxa" w:w="160"/>
              <w:left w:type="dxa" w:w="200"/>
              <w:bottom w:type="dxa" w:w="160"/>
              <w:right w:type="dxa" w:w="200"/>
            </w:tcMar>
          </w:tcPr>
          <w:p>
            <w:pPr>
              <w:spacing w:after="90"/>
            </w:pPr>
            <w:r>
              <w:rPr>
                <w:b/>
                <w:bCs/>
                <w:color w:val="6B4E71"/>
                <w:sz w:val="21"/>
                <w:szCs w:val="21"/>
              </w:rPr>
              <w:t xml:space="preserve">Le seul chiffre à ne pas bâcler</w:t>
            </w:r>
          </w:p>
          <w:p>
            <w:pPr>
              <w:spacing w:after="60"/>
            </w:pPr>
            <w:r>
              <w:rPr>
                <w:color w:val="33303F"/>
                <w:sz w:val="20"/>
                <w:szCs w:val="20"/>
              </w:rPr>
              <w:t xml:space="preserve">Le capital restant dû du Modulimmo et son taux. Ce sont eux qui pilotent la courbe, les projections à 3, 6 et 12 mois, et tout le calcul d'apport en cas de revente. Ils figurent sur ton dernier relevé annuel de prêt, ou dans l'espace client Crédit Mutuel.</w:t>
            </w:r>
          </w:p>
        </w:tc>
      </w:tr>
    </w:tbl>
    <w:p>
      <w:pPr>
        <w:pStyle w:val="Heading1"/>
        <w:spacing w:after="140" w:before="360"/>
      </w:pPr>
      <w:r>
        <w:rPr>
          <w:b/>
          <w:bCs/>
          <w:color w:val="6B4E71"/>
          <w:sz w:val="30"/>
          <w:szCs w:val="30"/>
        </w:rPr>
        <w:t xml:space="preserve">2. Les trois rituels</w:t>
      </w:r>
    </w:p>
    <w:p>
      <w:pPr>
        <w:spacing w:after="120"/>
      </w:pPr>
      <w:r>
        <w:rPr>
          <w:b w:val="false"/>
          <w:bCs w:val="false"/>
          <w:i w:val="false"/>
          <w:iCs w:val="false"/>
          <w:color w:val="33303F"/>
          <w:sz w:val="21"/>
          <w:szCs w:val="21"/>
        </w:rPr>
        <w:t xml:space="preserve">Le carnet ne sert à rien s'il n'est pas ouvert. Ces trois rendez-vous suffisent : cinq minutes par semaine, un quart d'heure par mois, une heure par an.</w:t>
      </w:r>
    </w:p>
    <w:p>
      <w:pPr>
        <w:pStyle w:val="Heading2"/>
        <w:spacing w:after="100" w:before="240"/>
      </w:pPr>
      <w:r>
        <w:rPr>
          <w:b/>
          <w:bCs/>
          <w:color w:val="33303F"/>
          <w:sz w:val="24"/>
          <w:szCs w:val="24"/>
        </w:rPr>
        <w:t xml:space="preserve">Chaque semaine — 5 minutes</w:t>
      </w:r>
    </w:p>
    <w:p>
      <w:pPr>
        <w:spacing w:after="120"/>
      </w:pPr>
      <w:r>
        <w:rPr>
          <w:b w:val="false"/>
          <w:bCs w:val="false"/>
          <w:i/>
          <w:iCs/>
          <w:color w:val="6D6779"/>
          <w:sz w:val="21"/>
          <w:szCs w:val="21"/>
        </w:rPr>
        <w:t xml:space="preserve">C'est le rituel qui compte. Le reste est du confort.</w:t>
      </w:r>
    </w:p>
    <w:p>
      <w:pPr>
        <w:pStyle w:val="ListParagraph"/>
        <w:numPr>
          <w:ilvl w:val="0"/>
          <w:numId w:val="3"/>
        </w:numPr>
        <w:spacing w:after="70"/>
      </w:pPr>
      <w:r>
        <w:rPr>
          <w:color w:val="33303F"/>
          <w:sz w:val="21"/>
          <w:szCs w:val="21"/>
        </w:rPr>
        <w:t xml:space="preserve">Ouvre le carnet, onglet Ce mois. Regarde le reste à vivre et le montant par jour.</w:t>
      </w:r>
    </w:p>
    <w:p>
      <w:pPr>
        <w:pStyle w:val="ListParagraph"/>
        <w:numPr>
          <w:ilvl w:val="0"/>
          <w:numId w:val="3"/>
        </w:numPr>
        <w:spacing w:after="70"/>
      </w:pPr>
      <w:r>
        <w:rPr>
          <w:color w:val="33303F"/>
          <w:sz w:val="21"/>
          <w:szCs w:val="21"/>
        </w:rPr>
        <w:t xml:space="preserve">Onglet Saisie : colle ton export CSV BoursoBank de la semaine, vérifie le tri proposé, valide.</w:t>
      </w:r>
    </w:p>
    <w:p>
      <w:pPr>
        <w:pStyle w:val="ListParagraph"/>
        <w:numPr>
          <w:ilvl w:val="0"/>
          <w:numId w:val="3"/>
        </w:numPr>
        <w:spacing w:after="70"/>
      </w:pPr>
      <w:r>
        <w:rPr>
          <w:color w:val="33303F"/>
          <w:sz w:val="21"/>
          <w:szCs w:val="21"/>
        </w:rPr>
        <w:t xml:space="preserve">Reviens sur Ce mois, section Poste par poste : les postes en dépassement remontent en haut de la liste tout seuls.</w:t>
      </w:r>
    </w:p>
    <w:p>
      <w:pPr>
        <w:pStyle w:val="ListParagraph"/>
        <w:numPr>
          <w:ilvl w:val="0"/>
          <w:numId w:val="3"/>
        </w:numPr>
        <w:spacing w:after="70"/>
      </w:pPr>
      <w:r>
        <w:rPr>
          <w:color w:val="33303F"/>
          <w:sz w:val="21"/>
          <w:szCs w:val="21"/>
        </w:rPr>
        <w:t xml:space="preserve">Appuie sur « J'ai fait le point ». La série de pétales se prolonge.</w:t>
      </w:r>
    </w:p>
    <w:p>
      <w:pPr>
        <w:pStyle w:val="Heading2"/>
        <w:spacing w:after="100" w:before="240"/>
      </w:pPr>
      <w:r>
        <w:rPr>
          <w:b/>
          <w:bCs/>
          <w:color w:val="33303F"/>
          <w:sz w:val="24"/>
          <w:szCs w:val="24"/>
        </w:rPr>
        <w:t xml:space="preserve">Chaque mois, le jour de la paie — 15 minutes</w:t>
      </w:r>
    </w:p>
    <w:p>
      <w:pPr>
        <w:pStyle w:val="ListParagraph"/>
        <w:numPr>
          <w:ilvl w:val="0"/>
          <w:numId w:val="3"/>
        </w:numPr>
        <w:spacing w:after="70"/>
      </w:pPr>
      <w:r>
        <w:rPr>
          <w:color w:val="33303F"/>
          <w:sz w:val="21"/>
          <w:szCs w:val="21"/>
        </w:rPr>
        <w:t xml:space="preserve">Fais les virements vers les enveloppes : le montant total est affiché en haut de l'onglet Enveloppes, et le détail par enveloppe sur chaque carte. Fais-les le jour même, pas en fin de mois — c'est toute la différence entre épargner et espérer épargner.</w:t>
      </w:r>
    </w:p>
    <w:p>
      <w:pPr>
        <w:pStyle w:val="ListParagraph"/>
        <w:numPr>
          <w:ilvl w:val="0"/>
          <w:numId w:val="3"/>
        </w:numPr>
        <w:spacing w:after="70"/>
      </w:pPr>
      <w:r>
        <w:rPr>
          <w:color w:val="33303F"/>
          <w:sz w:val="21"/>
          <w:szCs w:val="21"/>
        </w:rPr>
        <w:t xml:space="preserve">Mets à jour le « déjà de côté » de chaque enveloppe après les virements.</w:t>
      </w:r>
    </w:p>
    <w:p>
      <w:pPr>
        <w:pStyle w:val="ListParagraph"/>
        <w:numPr>
          <w:ilvl w:val="0"/>
          <w:numId w:val="3"/>
        </w:numPr>
        <w:spacing w:after="70"/>
      </w:pPr>
      <w:r>
        <w:rPr>
          <w:color w:val="33303F"/>
          <w:sz w:val="21"/>
          <w:szCs w:val="21"/>
        </w:rPr>
        <w:t xml:space="preserve">Actualise les soldes des comptes.</w:t>
      </w:r>
    </w:p>
    <w:p>
      <w:pPr>
        <w:pStyle w:val="ListParagraph"/>
        <w:numPr>
          <w:ilvl w:val="0"/>
          <w:numId w:val="3"/>
        </w:numPr>
        <w:spacing w:after="70"/>
      </w:pPr>
      <w:r>
        <w:rPr>
          <w:color w:val="33303F"/>
          <w:sz w:val="21"/>
          <w:szCs w:val="21"/>
        </w:rPr>
        <w:t xml:space="preserve">Regarde le mois écoulé poste par poste avant qu'il ne bascule, et repère la ligne qui a dérapé.</w:t>
      </w:r>
    </w:p>
    <w:p>
      <w:pPr>
        <w:pStyle w:val="Heading2"/>
        <w:spacing w:after="100" w:before="240"/>
      </w:pPr>
      <w:r>
        <w:rPr>
          <w:b/>
          <w:bCs/>
          <w:color w:val="33303F"/>
          <w:sz w:val="24"/>
          <w:szCs w:val="24"/>
        </w:rPr>
        <w:t xml:space="preserve">Chaque trimestre — 30 minutes, à deux</w:t>
      </w:r>
    </w:p>
    <w:p>
      <w:pPr>
        <w:pStyle w:val="ListParagraph"/>
        <w:numPr>
          <w:ilvl w:val="0"/>
          <w:numId w:val="3"/>
        </w:numPr>
        <w:spacing w:after="70"/>
      </w:pPr>
      <w:r>
        <w:rPr>
          <w:color w:val="33303F"/>
          <w:sz w:val="21"/>
          <w:szCs w:val="21"/>
        </w:rPr>
        <w:t xml:space="preserve">Onglet Crédits : lis les projections à 3, 6 et 12 mois. C'est le format que ton mari a l'habitude de suivre.</w:t>
      </w:r>
    </w:p>
    <w:p>
      <w:pPr>
        <w:pStyle w:val="ListParagraph"/>
        <w:numPr>
          <w:ilvl w:val="0"/>
          <w:numId w:val="3"/>
        </w:numPr>
        <w:spacing w:after="70"/>
      </w:pPr>
      <w:r>
        <w:rPr>
          <w:color w:val="33303F"/>
          <w:sz w:val="21"/>
          <w:szCs w:val="21"/>
        </w:rPr>
        <w:t xml:space="preserve">Descends sur « Si vous vendiez l'appartement » : c'est la vraie mesure d'avancement du projet maison.</w:t>
      </w:r>
    </w:p>
    <w:p>
      <w:pPr>
        <w:pStyle w:val="ListParagraph"/>
        <w:numPr>
          <w:ilvl w:val="0"/>
          <w:numId w:val="3"/>
        </w:numPr>
        <w:spacing w:after="70"/>
      </w:pPr>
      <w:r>
        <w:rPr>
          <w:color w:val="33303F"/>
          <w:sz w:val="21"/>
          <w:szCs w:val="21"/>
        </w:rPr>
        <w:t xml:space="preserve">Onglet Comptes → Exporter mes données, et range le fichier JSON quelque part. C'est ta seule sauvegarde.</w:t>
      </w:r>
    </w:p>
    <w:p>
      <w:r>
        <w:br w:type="page"/>
      </w:r>
    </w:p>
    <w:p>
      <w:pPr>
        <w:pStyle w:val="Heading1"/>
        <w:spacing w:after="140" w:before="360"/>
      </w:pPr>
      <w:r>
        <w:rPr>
          <w:b/>
          <w:bCs/>
          <w:color w:val="6B4E71"/>
          <w:sz w:val="30"/>
          <w:szCs w:val="30"/>
        </w:rPr>
        <w:t xml:space="preserve">3. Importer un relevé</w:t>
      </w:r>
    </w:p>
    <w:p>
      <w:pPr>
        <w:spacing w:after="120"/>
      </w:pPr>
      <w:r>
        <w:rPr>
          <w:b w:val="false"/>
          <w:bCs w:val="false"/>
          <w:i w:val="false"/>
          <w:iCs w:val="false"/>
          <w:color w:val="33303F"/>
          <w:sz w:val="21"/>
          <w:szCs w:val="21"/>
        </w:rPr>
        <w:t xml:space="preserve">Le carnet lit le CSV BoursoBank tel quel, ainsi que la plupart des exports bancaires : il repère les colonnes date, libellé et montant par leur en-tête, quel que soit leur ordre, et accepte le point-virgule, la tabulation ou la virgule comme séparateur.</w:t>
      </w:r>
    </w:p>
    <w:p>
      <w:pPr>
        <w:pStyle w:val="ListParagraph"/>
        <w:numPr>
          <w:ilvl w:val="0"/>
          <w:numId w:val="4"/>
        </w:numPr>
        <w:spacing w:after="70"/>
      </w:pPr>
      <w:r>
        <w:rPr>
          <w:color w:val="33303F"/>
          <w:sz w:val="21"/>
          <w:szCs w:val="21"/>
        </w:rPr>
        <w:t xml:space="preserve">Dans l'espace BoursoBank, exporte les opérations du compte au format CSV.</w:t>
      </w:r>
    </w:p>
    <w:p>
      <w:pPr>
        <w:pStyle w:val="ListParagraph"/>
        <w:numPr>
          <w:ilvl w:val="0"/>
          <w:numId w:val="4"/>
        </w:numPr>
        <w:spacing w:after="70"/>
      </w:pPr>
      <w:r>
        <w:rPr>
          <w:color w:val="33303F"/>
          <w:sz w:val="21"/>
          <w:szCs w:val="21"/>
        </w:rPr>
        <w:t xml:space="preserve">Ouvre le fichier avec un éditeur de texte, sélectionne tout, copie.</w:t>
      </w:r>
    </w:p>
    <w:p>
      <w:pPr>
        <w:pStyle w:val="ListParagraph"/>
        <w:numPr>
          <w:ilvl w:val="0"/>
          <w:numId w:val="4"/>
        </w:numPr>
        <w:spacing w:after="70"/>
      </w:pPr>
      <w:r>
        <w:rPr>
          <w:color w:val="33303F"/>
          <w:sz w:val="21"/>
          <w:szCs w:val="21"/>
        </w:rPr>
        <w:t xml:space="preserve">Onglet Saisie → Coller un relevé, colle, puis « Lire le relevé ».</w:t>
      </w:r>
    </w:p>
    <w:p>
      <w:pPr>
        <w:pStyle w:val="ListParagraph"/>
        <w:numPr>
          <w:ilvl w:val="0"/>
          <w:numId w:val="4"/>
        </w:numPr>
        <w:spacing w:after="70"/>
      </w:pPr>
      <w:r>
        <w:rPr>
          <w:color w:val="33303F"/>
          <w:sz w:val="21"/>
          <w:szCs w:val="21"/>
        </w:rPr>
        <w:t xml:space="preserve">Vérifie l'aperçu. Chaque ligne propose un tri et un poste, devinés à partir de ton historique 2025 : Picnic va dans Alimentation, Certas dans Transports, BDJ Chessy dans Loisirs. Corrige ce qui est faux.</w:t>
      </w:r>
    </w:p>
    <w:p>
      <w:pPr>
        <w:pStyle w:val="ListParagraph"/>
        <w:numPr>
          <w:ilvl w:val="0"/>
          <w:numId w:val="4"/>
        </w:numPr>
        <w:spacing w:after="70"/>
      </w:pPr>
      <w:r>
        <w:rPr>
          <w:color w:val="33303F"/>
          <w:sz w:val="21"/>
          <w:szCs w:val="21"/>
        </w:rPr>
        <w:t xml:space="preserve">« Enregistrer ces opérations ». Les doublons sont écartés automatiquement, tu peux donc réimporter un mois entier sans crainte.</w:t>
      </w:r>
    </w:p>
    <w:p>
      <w:pPr>
        <w:spacing w:after="200"/>
      </w:pPr>
      <w:r>
        <w:rPr>
          <w:b w:val="false"/>
          <w:bCs w:val="false"/>
          <w:i w:val="false"/>
          <w:iCs w:val="false"/>
          <w:color w:val="33303F"/>
          <w:sz w:val="21"/>
          <w:szCs w:val="21"/>
        </w:rPr>
        <w:t xml:space="preserve">Les crédits (virements reçus, remboursements) sont mis sur « ignorer » par défaut : le carnet suit les dépenses, pas les entrées, qui sont déjà couvertes par la ligne Revenus.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3EFF3" w:val="clear"/>
            <w:tcMar>
              <w:top w:type="dxa" w:w="160"/>
              <w:left w:type="dxa" w:w="200"/>
              <w:bottom w:type="dxa" w:w="160"/>
              <w:right w:type="dxa" w:w="200"/>
            </w:tcMar>
          </w:tcPr>
          <w:p>
            <w:pPr>
              <w:spacing w:after="90"/>
            </w:pPr>
            <w:r>
              <w:rPr>
                <w:b/>
                <w:bCs/>
                <w:color w:val="6B4E71"/>
                <w:sz w:val="21"/>
                <w:szCs w:val="21"/>
              </w:rPr>
              <w:t xml:space="preserve">Trois pièges</w:t>
            </w:r>
          </w:p>
          <w:p>
            <w:pPr>
              <w:spacing w:after="60"/>
            </w:pPr>
            <w:r>
              <w:rPr>
                <w:color w:val="33303F"/>
                <w:sz w:val="20"/>
                <w:szCs w:val="20"/>
              </w:rPr>
              <w:t xml:space="preserve">Une ligne classée « charge fixe » écrase la charge du même libellé au lieu de s'ajouter : c'est voulu, ça actualise ton prévisionnel. Ne t'en sers pas pour une dépense ponctuelle.</w:t>
            </w:r>
          </w:p>
          <w:p>
            <w:pPr>
              <w:spacing w:after="60"/>
            </w:pPr>
            <w:r>
              <w:rPr>
                <w:color w:val="33303F"/>
                <w:sz w:val="20"/>
                <w:szCs w:val="20"/>
              </w:rPr>
              <w:t xml:space="preserve">Les virements entre tes propres comptes ne sont pas des dépenses. Mets-les sur « ignorer », sinon tu comptes deux fois.</w:t>
            </w:r>
          </w:p>
          <w:p>
            <w:pPr>
              <w:spacing w:after="60"/>
            </w:pPr>
            <w:r>
              <w:rPr>
                <w:color w:val="33303F"/>
                <w:sz w:val="20"/>
                <w:szCs w:val="20"/>
              </w:rPr>
              <w:t xml:space="preserve">Le compte joint et les comptes perso s'importent dans le même carnet : le reste à vivre est un chiffre de foyer, pas un chiffre par personne.</w:t>
            </w:r>
          </w:p>
        </w:tc>
      </w:tr>
    </w:tbl>
    <w:p>
      <w:pPr>
        <w:pStyle w:val="Heading1"/>
        <w:spacing w:after="140" w:before="360"/>
      </w:pPr>
      <w:r>
        <w:rPr>
          <w:b/>
          <w:bCs/>
          <w:color w:val="6B4E71"/>
          <w:sz w:val="30"/>
          <w:szCs w:val="30"/>
        </w:rPr>
        <w:t xml:space="preserve">4. D'où vient chaque chiffre</w:t>
      </w:r>
    </w:p>
    <w:p>
      <w:pPr>
        <w:spacing w:after="160"/>
      </w:pPr>
      <w:r>
        <w:rPr>
          <w:b w:val="false"/>
          <w:bCs w:val="false"/>
          <w:i w:val="false"/>
          <w:iCs w:val="false"/>
          <w:color w:val="33303F"/>
          <w:sz w:val="21"/>
          <w:szCs w:val="21"/>
        </w:rPr>
        <w:t xml:space="preserve">Aucun chiffre du carnet n'est saisi à la main deux fois. Voici la chaîne de calcul complète.</w:t>
      </w:r>
    </w:p>
    <w:tbl>
      <w:tblPr>
        <w:tblW w:type="dxa" w:w="9026"/>
        <w:tblBorders>
          <w:top w:val="single" w:color="D8D2DB" w:sz="2"/>
          <w:left w:val="none" w:color="FFFFFF" w:sz="0"/>
          <w:bottom w:val="single" w:color="D8D2DB" w:sz="2"/>
          <w:right w:val="none" w:color="FFFFFF" w:sz="0"/>
          <w:insideH w:val="single" w:color="E6E1E9" w:sz="2"/>
          <w:insideV w:val="none" w:color="FFFFFF" w:sz="0"/>
        </w:tblBorders>
      </w:tblPr>
      <w:tblGrid>
        <w:gridCol w:w="2600"/>
        <w:gridCol w:w="6426"/>
      </w:tblGrid>
      <w:tr>
        <w:trPr>
          <w:tblHeader/>
        </w:trPr>
        <w:tc>
          <w:tcPr>
            <w:tcW w:type="dxa" w:w="2600"/>
            <w:shd w:fill="EFE4EF" w:val="clear"/>
            <w:tcMar>
              <w:top w:type="dxa" w:w="90"/>
              <w:left w:type="dxa" w:w="130"/>
              <w:bottom w:type="dxa" w:w="90"/>
              <w:right w:type="dxa" w:w="130"/>
            </w:tcMar>
          </w:tcPr>
          <w:p>
            <w:r>
              <w:rPr>
                <w:b/>
                <w:bCs/>
                <w:color w:val="6B4E71"/>
                <w:sz w:val="20"/>
                <w:szCs w:val="20"/>
              </w:rPr>
              <w:t xml:space="preserve">Ce que tu lis</w:t>
            </w:r>
          </w:p>
        </w:tc>
        <w:tc>
          <w:tcPr>
            <w:tcW w:type="dxa" w:w="6426"/>
            <w:shd w:fill="EFE4EF" w:val="clear"/>
            <w:tcMar>
              <w:top w:type="dxa" w:w="90"/>
              <w:left w:type="dxa" w:w="130"/>
              <w:bottom w:type="dxa" w:w="90"/>
              <w:right w:type="dxa" w:w="130"/>
            </w:tcMar>
          </w:tcPr>
          <w:p>
            <w:r>
              <w:rPr>
                <w:b/>
                <w:bCs/>
                <w:color w:val="6B4E71"/>
                <w:sz w:val="20"/>
                <w:szCs w:val="20"/>
              </w:rPr>
              <w:t xml:space="preserve">Comment il est calculé</w:t>
            </w:r>
          </w:p>
        </w:tc>
      </w:tr>
      <w:tr>
        <w:tc>
          <w:tcPr>
            <w:tcW w:type="dxa" w:w="2600"/>
            <w:tcMar>
              <w:top w:type="dxa" w:w="90"/>
              <w:left w:type="dxa" w:w="130"/>
              <w:bottom w:type="dxa" w:w="90"/>
              <w:right w:type="dxa" w:w="130"/>
            </w:tcMar>
          </w:tcPr>
          <w:p>
            <w:r>
              <w:rPr>
                <w:b w:val="false"/>
                <w:bCs w:val="false"/>
                <w:color w:val="33303F"/>
                <w:sz w:val="20"/>
                <w:szCs w:val="20"/>
              </w:rPr>
              <w:t xml:space="preserve">Reste à vivre</w:t>
            </w:r>
          </w:p>
        </w:tc>
        <w:tc>
          <w:tcPr>
            <w:tcW w:type="dxa" w:w="6426"/>
            <w:tcMar>
              <w:top w:type="dxa" w:w="90"/>
              <w:left w:type="dxa" w:w="130"/>
              <w:bottom w:type="dxa" w:w="90"/>
              <w:right w:type="dxa" w:w="130"/>
            </w:tcMar>
          </w:tcPr>
          <w:p>
            <w:r>
              <w:rPr>
                <w:b w:val="false"/>
                <w:bCs w:val="false"/>
                <w:color w:val="33303F"/>
                <w:sz w:val="20"/>
                <w:szCs w:val="20"/>
              </w:rPr>
              <w:t xml:space="preserve">revenus − charges fixes − mensualités de crédit − épargne des enveloppes − dépenses déjà saisies ce mois</w:t>
            </w:r>
          </w:p>
        </w:tc>
      </w:tr>
      <w:tr>
        <w:tc>
          <w:tcPr>
            <w:tcW w:type="dxa" w:w="2600"/>
            <w:tcMar>
              <w:top w:type="dxa" w:w="90"/>
              <w:left w:type="dxa" w:w="130"/>
              <w:bottom w:type="dxa" w:w="90"/>
              <w:right w:type="dxa" w:w="130"/>
            </w:tcMar>
          </w:tcPr>
          <w:p>
            <w:r>
              <w:rPr>
                <w:b w:val="false"/>
                <w:bCs w:val="false"/>
                <w:color w:val="33303F"/>
                <w:sz w:val="20"/>
                <w:szCs w:val="20"/>
              </w:rPr>
              <w:t xml:space="preserve">Montant par jour</w:t>
            </w:r>
          </w:p>
        </w:tc>
        <w:tc>
          <w:tcPr>
            <w:tcW w:type="dxa" w:w="6426"/>
            <w:tcMar>
              <w:top w:type="dxa" w:w="90"/>
              <w:left w:type="dxa" w:w="130"/>
              <w:bottom w:type="dxa" w:w="90"/>
              <w:right w:type="dxa" w:w="130"/>
            </w:tcMar>
          </w:tcPr>
          <w:p>
            <w:r>
              <w:rPr>
                <w:b w:val="false"/>
                <w:bCs w:val="false"/>
                <w:color w:val="33303F"/>
                <w:sz w:val="20"/>
                <w:szCs w:val="20"/>
              </w:rPr>
              <w:t xml:space="preserve">reste à vivre ÷ nombre de jours restants dans le mois</w:t>
            </w:r>
          </w:p>
        </w:tc>
      </w:tr>
      <w:tr>
        <w:tc>
          <w:tcPr>
            <w:tcW w:type="dxa" w:w="2600"/>
            <w:tcMar>
              <w:top w:type="dxa" w:w="90"/>
              <w:left w:type="dxa" w:w="130"/>
              <w:bottom w:type="dxa" w:w="90"/>
              <w:right w:type="dxa" w:w="130"/>
            </w:tcMar>
          </w:tcPr>
          <w:p>
            <w:r>
              <w:rPr>
                <w:b w:val="false"/>
                <w:bCs w:val="false"/>
                <w:color w:val="33303F"/>
                <w:sz w:val="20"/>
                <w:szCs w:val="20"/>
              </w:rPr>
              <w:t xml:space="preserve">Versement d'une enveloppe</w:t>
            </w:r>
          </w:p>
        </w:tc>
        <w:tc>
          <w:tcPr>
            <w:tcW w:type="dxa" w:w="6426"/>
            <w:tcMar>
              <w:top w:type="dxa" w:w="90"/>
              <w:left w:type="dxa" w:w="130"/>
              <w:bottom w:type="dxa" w:w="90"/>
              <w:right w:type="dxa" w:w="130"/>
            </w:tcMar>
          </w:tcPr>
          <w:p>
            <w:r>
              <w:rPr>
                <w:b w:val="false"/>
                <w:bCs w:val="false"/>
                <w:color w:val="33303F"/>
                <w:sz w:val="20"/>
                <w:szCs w:val="20"/>
              </w:rPr>
              <w:t xml:space="preserve">(objectif − déjà de côté) ÷ nombre de mois jusqu'à la date cible, arrondi au supérieur</w:t>
            </w:r>
          </w:p>
        </w:tc>
      </w:tr>
      <w:tr>
        <w:tc>
          <w:tcPr>
            <w:tcW w:type="dxa" w:w="2600"/>
            <w:tcMar>
              <w:top w:type="dxa" w:w="90"/>
              <w:left w:type="dxa" w:w="130"/>
              <w:bottom w:type="dxa" w:w="90"/>
              <w:right w:type="dxa" w:w="130"/>
            </w:tcMar>
          </w:tcPr>
          <w:p>
            <w:r>
              <w:rPr>
                <w:b w:val="false"/>
                <w:bCs w:val="false"/>
                <w:color w:val="33303F"/>
                <w:sz w:val="20"/>
                <w:szCs w:val="20"/>
              </w:rPr>
              <w:t xml:space="preserve">Capital restant dû projeté</w:t>
            </w:r>
          </w:p>
        </w:tc>
        <w:tc>
          <w:tcPr>
            <w:tcW w:type="dxa" w:w="6426"/>
            <w:tcMar>
              <w:top w:type="dxa" w:w="90"/>
              <w:left w:type="dxa" w:w="130"/>
              <w:bottom w:type="dxa" w:w="90"/>
              <w:right w:type="dxa" w:w="130"/>
            </w:tcMar>
          </w:tcPr>
          <w:p>
            <w:r>
              <w:rPr>
                <w:b w:val="false"/>
                <w:bCs w:val="false"/>
                <w:color w:val="33303F"/>
                <w:sz w:val="20"/>
                <w:szCs w:val="20"/>
              </w:rPr>
              <w:t xml:space="preserve">amortissement mois par mois : intérêts = CRD × taux ÷ 12, le reste de la mensualité rembourse du capital</w:t>
            </w:r>
          </w:p>
        </w:tc>
      </w:tr>
      <w:tr>
        <w:tc>
          <w:tcPr>
            <w:tcW w:type="dxa" w:w="2600"/>
            <w:tcMar>
              <w:top w:type="dxa" w:w="90"/>
              <w:left w:type="dxa" w:w="130"/>
              <w:bottom w:type="dxa" w:w="90"/>
              <w:right w:type="dxa" w:w="130"/>
            </w:tcMar>
          </w:tcPr>
          <w:p>
            <w:r>
              <w:rPr>
                <w:b w:val="false"/>
                <w:bCs w:val="false"/>
                <w:color w:val="33303F"/>
                <w:sz w:val="20"/>
                <w:szCs w:val="20"/>
              </w:rPr>
              <w:t xml:space="preserve">Net vendeur</w:t>
            </w:r>
          </w:p>
        </w:tc>
        <w:tc>
          <w:tcPr>
            <w:tcW w:type="dxa" w:w="6426"/>
            <w:tcMar>
              <w:top w:type="dxa" w:w="90"/>
              <w:left w:type="dxa" w:w="130"/>
              <w:bottom w:type="dxa" w:w="90"/>
              <w:right w:type="dxa" w:w="130"/>
            </w:tcMar>
          </w:tcPr>
          <w:p>
            <w:r>
              <w:rPr>
                <w:b w:val="false"/>
                <w:bCs w:val="false"/>
                <w:color w:val="33303F"/>
                <w:sz w:val="20"/>
                <w:szCs w:val="20"/>
              </w:rPr>
              <w:t xml:space="preserve">prix estimé revalorisé − frais d'agence − solde des crédits adossés au bien − pénalités de remboursement anticipé</w:t>
            </w:r>
          </w:p>
        </w:tc>
      </w:tr>
      <w:tr>
        <w:tc>
          <w:tcPr>
            <w:tcW w:type="dxa" w:w="2600"/>
            <w:tcMar>
              <w:top w:type="dxa" w:w="90"/>
              <w:left w:type="dxa" w:w="130"/>
              <w:bottom w:type="dxa" w:w="90"/>
              <w:right w:type="dxa" w:w="130"/>
            </w:tcMar>
          </w:tcPr>
          <w:p>
            <w:r>
              <w:rPr>
                <w:b w:val="false"/>
                <w:bCs w:val="false"/>
                <w:color w:val="33303F"/>
                <w:sz w:val="20"/>
                <w:szCs w:val="20"/>
              </w:rPr>
              <w:t xml:space="preserve">Apport disponible</w:t>
            </w:r>
          </w:p>
        </w:tc>
        <w:tc>
          <w:tcPr>
            <w:tcW w:type="dxa" w:w="6426"/>
            <w:tcMar>
              <w:top w:type="dxa" w:w="90"/>
              <w:left w:type="dxa" w:w="130"/>
              <w:bottom w:type="dxa" w:w="90"/>
              <w:right w:type="dxa" w:w="130"/>
            </w:tcMar>
          </w:tcPr>
          <w:p>
            <w:r>
              <w:rPr>
                <w:b w:val="false"/>
                <w:bCs w:val="false"/>
                <w:color w:val="33303F"/>
                <w:sz w:val="20"/>
                <w:szCs w:val="20"/>
              </w:rPr>
              <w:t xml:space="preserve">net vendeur + enveloppes cochées « apport », projetées à la même date</w:t>
            </w:r>
          </w:p>
        </w:tc>
      </w:tr>
      <w:tr>
        <w:tc>
          <w:tcPr>
            <w:tcW w:type="dxa" w:w="2600"/>
            <w:tcMar>
              <w:top w:type="dxa" w:w="90"/>
              <w:left w:type="dxa" w:w="130"/>
              <w:bottom w:type="dxa" w:w="90"/>
              <w:right w:type="dxa" w:w="130"/>
            </w:tcMar>
          </w:tcPr>
          <w:p>
            <w:r>
              <w:rPr>
                <w:b w:val="false"/>
                <w:bCs w:val="false"/>
                <w:color w:val="33303F"/>
                <w:sz w:val="20"/>
                <w:szCs w:val="20"/>
              </w:rPr>
              <w:t xml:space="preserve">Reste à emprunter</w:t>
            </w:r>
          </w:p>
        </w:tc>
        <w:tc>
          <w:tcPr>
            <w:tcW w:type="dxa" w:w="6426"/>
            <w:tcMar>
              <w:top w:type="dxa" w:w="90"/>
              <w:left w:type="dxa" w:w="130"/>
              <w:bottom w:type="dxa" w:w="90"/>
              <w:right w:type="dxa" w:w="130"/>
            </w:tcMar>
          </w:tcPr>
          <w:p>
            <w:r>
              <w:rPr>
                <w:b w:val="false"/>
                <w:bCs w:val="false"/>
                <w:color w:val="33303F"/>
                <w:sz w:val="20"/>
                <w:szCs w:val="20"/>
              </w:rPr>
              <w:t xml:space="preserve">prix visé − apport disponible + frais de notaire du prochain achat</w:t>
            </w:r>
          </w:p>
        </w:tc>
      </w:tr>
    </w:tbl>
    <w:p>
      <w:pPr>
        <w:spacing w:after="160"/>
      </w:pPr>
      <w:r>
        <w:rPr>
          <w:b w:val="false"/>
          <w:bCs w:val="false"/>
          <w:i w:val="false"/>
          <w:iCs w:val="false"/>
          <w:color w:val="33303F"/>
          <w:sz w:val="21"/>
          <w:szCs w:val="21"/>
        </w:rPr>
        <w:t xml:space="preserve"/>
      </w:r>
    </w:p>
    <w:p>
      <w:pPr>
        <w:spacing w:after="200"/>
      </w:pPr>
      <w:r>
        <w:rPr>
          <w:b w:val="false"/>
          <w:bCs w:val="false"/>
          <w:i w:val="false"/>
          <w:iCs w:val="false"/>
          <w:color w:val="33303F"/>
          <w:sz w:val="21"/>
          <w:szCs w:val="21"/>
        </w:rPr>
        <w:t xml:space="preserve">Les pénalités de remboursement anticipé suivent le plafond légal : le plus petit entre 3 % du capital restant dû et six mois d'intérêts. Beaucoup de contrats en dispensent en cas de revente — décoche la case si c'est ton cas, ton offre de prêt le dit.</w:t>
      </w:r>
    </w:p>
    <w:p>
      <w:pPr>
        <w:pStyle w:val="Heading1"/>
        <w:spacing w:after="140" w:before="360"/>
      </w:pPr>
      <w:r>
        <w:rPr>
          <w:b/>
          <w:bCs/>
          <w:color w:val="6B4E71"/>
          <w:sz w:val="30"/>
          <w:szCs w:val="30"/>
        </w:rPr>
        <w:t xml:space="preserve">5. Ce que dit ton historique</w:t>
      </w:r>
    </w:p>
    <w:p>
      <w:pPr>
        <w:spacing w:after="160"/>
      </w:pPr>
      <w:r>
        <w:rPr>
          <w:b w:val="false"/>
          <w:bCs w:val="false"/>
          <w:i w:val="false"/>
          <w:iCs w:val="false"/>
          <w:color w:val="33303F"/>
          <w:sz w:val="21"/>
          <w:szCs w:val="21"/>
        </w:rPr>
        <w:t xml:space="preserve">Sur les six premiers mois de 2025, une fois les doublons de feuilles retirés :</w:t>
      </w:r>
    </w:p>
    <w:tbl>
      <w:tblPr>
        <w:tblW w:type="dxa" w:w="9026"/>
        <w:tblBorders>
          <w:top w:val="single" w:color="D8D2DB" w:sz="2"/>
          <w:left w:val="none" w:color="FFFFFF" w:sz="0"/>
          <w:bottom w:val="single" w:color="D8D2DB" w:sz="2"/>
          <w:right w:val="none" w:color="FFFFFF" w:sz="0"/>
          <w:insideH w:val="single" w:color="E6E1E9" w:sz="2"/>
          <w:insideV w:val="none" w:color="FFFFFF" w:sz="0"/>
        </w:tblBorders>
      </w:tblPr>
      <w:tblGrid>
        <w:gridCol w:w="3400"/>
        <w:gridCol w:w="1875"/>
        <w:gridCol w:w="1875"/>
        <w:gridCol w:w="1876"/>
      </w:tblGrid>
      <w:tr>
        <w:trPr>
          <w:tblHeader/>
        </w:trPr>
        <w:tc>
          <w:tcPr>
            <w:tcW w:type="dxa" w:w="3400"/>
            <w:shd w:fill="EFE4EF" w:val="clear"/>
            <w:tcMar>
              <w:top w:type="dxa" w:w="90"/>
              <w:left w:type="dxa" w:w="130"/>
              <w:bottom w:type="dxa" w:w="90"/>
              <w:right w:type="dxa" w:w="130"/>
            </w:tcMar>
          </w:tcPr>
          <w:p>
            <w:r>
              <w:rPr>
                <w:b/>
                <w:bCs/>
                <w:color w:val="6B4E71"/>
                <w:sz w:val="20"/>
                <w:szCs w:val="20"/>
              </w:rPr>
              <w:t xml:space="preserve"/>
            </w:r>
          </w:p>
        </w:tc>
        <w:tc>
          <w:tcPr>
            <w:tcW w:type="dxa" w:w="1875"/>
            <w:shd w:fill="EFE4EF" w:val="clear"/>
            <w:tcMar>
              <w:top w:type="dxa" w:w="90"/>
              <w:left w:type="dxa" w:w="130"/>
              <w:bottom w:type="dxa" w:w="90"/>
              <w:right w:type="dxa" w:w="130"/>
            </w:tcMar>
          </w:tcPr>
          <w:p>
            <w:r>
              <w:rPr>
                <w:b/>
                <w:bCs/>
                <w:color w:val="6B4E71"/>
                <w:sz w:val="20"/>
                <w:szCs w:val="20"/>
              </w:rPr>
              <w:t xml:space="preserve">Prévu</w:t>
            </w:r>
          </w:p>
        </w:tc>
        <w:tc>
          <w:tcPr>
            <w:tcW w:type="dxa" w:w="1875"/>
            <w:shd w:fill="EFE4EF" w:val="clear"/>
            <w:tcMar>
              <w:top w:type="dxa" w:w="90"/>
              <w:left w:type="dxa" w:w="130"/>
              <w:bottom w:type="dxa" w:w="90"/>
              <w:right w:type="dxa" w:w="130"/>
            </w:tcMar>
          </w:tcPr>
          <w:p>
            <w:r>
              <w:rPr>
                <w:b/>
                <w:bCs/>
                <w:color w:val="6B4E71"/>
                <w:sz w:val="20"/>
                <w:szCs w:val="20"/>
              </w:rPr>
              <w:t xml:space="preserve">Réel</w:t>
            </w:r>
          </w:p>
        </w:tc>
        <w:tc>
          <w:tcPr>
            <w:tcW w:type="dxa" w:w="1876"/>
            <w:shd w:fill="EFE4EF" w:val="clear"/>
            <w:tcMar>
              <w:top w:type="dxa" w:w="90"/>
              <w:left w:type="dxa" w:w="130"/>
              <w:bottom w:type="dxa" w:w="90"/>
              <w:right w:type="dxa" w:w="130"/>
            </w:tcMar>
          </w:tcPr>
          <w:p>
            <w:r>
              <w:rPr>
                <w:b/>
                <w:bCs/>
                <w:color w:val="6B4E71"/>
                <w:sz w:val="20"/>
                <w:szCs w:val="20"/>
              </w:rPr>
              <w:t xml:space="preserve">Écart</w:t>
            </w:r>
          </w:p>
        </w:tc>
      </w:tr>
      <w:tr>
        <w:tc>
          <w:tcPr>
            <w:tcW w:type="dxa" w:w="3400"/>
            <w:tcMar>
              <w:top w:type="dxa" w:w="90"/>
              <w:left w:type="dxa" w:w="130"/>
              <w:bottom w:type="dxa" w:w="90"/>
              <w:right w:type="dxa" w:w="130"/>
            </w:tcMar>
          </w:tcPr>
          <w:p>
            <w:r>
              <w:rPr>
                <w:b w:val="false"/>
                <w:bCs w:val="false"/>
                <w:color w:val="33303F"/>
                <w:sz w:val="20"/>
                <w:szCs w:val="20"/>
              </w:rPr>
              <w:t xml:space="preserve">Charges fixes</w:t>
            </w:r>
          </w:p>
        </w:tc>
        <w:tc>
          <w:tcPr>
            <w:tcW w:type="dxa" w:w="1875"/>
            <w:tcMar>
              <w:top w:type="dxa" w:w="90"/>
              <w:left w:type="dxa" w:w="130"/>
              <w:bottom w:type="dxa" w:w="90"/>
              <w:right w:type="dxa" w:w="130"/>
            </w:tcMar>
          </w:tcPr>
          <w:p>
            <w:r>
              <w:rPr>
                <w:b w:val="false"/>
                <w:bCs w:val="false"/>
                <w:color w:val="33303F"/>
                <w:sz w:val="20"/>
                <w:szCs w:val="20"/>
              </w:rPr>
              <w:t xml:space="preserve">1 851 €</w:t>
            </w:r>
          </w:p>
        </w:tc>
        <w:tc>
          <w:tcPr>
            <w:tcW w:type="dxa" w:w="1875"/>
            <w:tcMar>
              <w:top w:type="dxa" w:w="90"/>
              <w:left w:type="dxa" w:w="130"/>
              <w:bottom w:type="dxa" w:w="90"/>
              <w:right w:type="dxa" w:w="130"/>
            </w:tcMar>
          </w:tcPr>
          <w:p>
            <w:r>
              <w:rPr>
                <w:b w:val="false"/>
                <w:bCs w:val="false"/>
                <w:color w:val="33303F"/>
                <w:sz w:val="20"/>
                <w:szCs w:val="20"/>
              </w:rPr>
              <w:t xml:space="preserve">1 715 €</w:t>
            </w:r>
          </w:p>
        </w:tc>
        <w:tc>
          <w:tcPr>
            <w:tcW w:type="dxa" w:w="1876"/>
            <w:tcMar>
              <w:top w:type="dxa" w:w="90"/>
              <w:left w:type="dxa" w:w="130"/>
              <w:bottom w:type="dxa" w:w="90"/>
              <w:right w:type="dxa" w:w="130"/>
            </w:tcMar>
          </w:tcPr>
          <w:p>
            <w:r>
              <w:rPr>
                <w:b w:val="false"/>
                <w:bCs w:val="false"/>
                <w:color w:val="33303F"/>
                <w:sz w:val="20"/>
                <w:szCs w:val="20"/>
              </w:rPr>
              <w:t xml:space="preserve">− 136 €</w:t>
            </w:r>
          </w:p>
        </w:tc>
      </w:tr>
      <w:tr>
        <w:tc>
          <w:tcPr>
            <w:tcW w:type="dxa" w:w="3400"/>
            <w:tcMar>
              <w:top w:type="dxa" w:w="90"/>
              <w:left w:type="dxa" w:w="130"/>
              <w:bottom w:type="dxa" w:w="90"/>
              <w:right w:type="dxa" w:w="130"/>
            </w:tcMar>
          </w:tcPr>
          <w:p>
            <w:r>
              <w:rPr>
                <w:b w:val="false"/>
                <w:bCs w:val="false"/>
                <w:color w:val="33303F"/>
                <w:sz w:val="20"/>
                <w:szCs w:val="20"/>
              </w:rPr>
              <w:t xml:space="preserve">Crédits</w:t>
            </w:r>
          </w:p>
        </w:tc>
        <w:tc>
          <w:tcPr>
            <w:tcW w:type="dxa" w:w="1875"/>
            <w:tcMar>
              <w:top w:type="dxa" w:w="90"/>
              <w:left w:type="dxa" w:w="130"/>
              <w:bottom w:type="dxa" w:w="90"/>
              <w:right w:type="dxa" w:w="130"/>
            </w:tcMar>
          </w:tcPr>
          <w:p>
            <w:r>
              <w:rPr>
                <w:b w:val="false"/>
                <w:bCs w:val="false"/>
                <w:color w:val="33303F"/>
                <w:sz w:val="20"/>
                <w:szCs w:val="20"/>
              </w:rPr>
              <w:t xml:space="preserve">2 116 €</w:t>
            </w:r>
          </w:p>
        </w:tc>
        <w:tc>
          <w:tcPr>
            <w:tcW w:type="dxa" w:w="1875"/>
            <w:tcMar>
              <w:top w:type="dxa" w:w="90"/>
              <w:left w:type="dxa" w:w="130"/>
              <w:bottom w:type="dxa" w:w="90"/>
              <w:right w:type="dxa" w:w="130"/>
            </w:tcMar>
          </w:tcPr>
          <w:p>
            <w:r>
              <w:rPr>
                <w:b w:val="false"/>
                <w:bCs w:val="false"/>
                <w:color w:val="33303F"/>
                <w:sz w:val="20"/>
                <w:szCs w:val="20"/>
              </w:rPr>
              <w:t xml:space="preserve">2 116 €</w:t>
            </w:r>
          </w:p>
        </w:tc>
        <w:tc>
          <w:tcPr>
            <w:tcW w:type="dxa" w:w="1876"/>
            <w:tcMar>
              <w:top w:type="dxa" w:w="90"/>
              <w:left w:type="dxa" w:w="130"/>
              <w:bottom w:type="dxa" w:w="90"/>
              <w:right w:type="dxa" w:w="130"/>
            </w:tcMar>
          </w:tcPr>
          <w:p>
            <w:r>
              <w:rPr>
                <w:b w:val="false"/>
                <w:bCs w:val="false"/>
                <w:color w:val="33303F"/>
                <w:sz w:val="20"/>
                <w:szCs w:val="20"/>
              </w:rPr>
              <w:t xml:space="preserve">0 €</w:t>
            </w:r>
          </w:p>
        </w:tc>
      </w:tr>
      <w:tr>
        <w:tc>
          <w:tcPr>
            <w:tcW w:type="dxa" w:w="3400"/>
            <w:tcMar>
              <w:top w:type="dxa" w:w="90"/>
              <w:left w:type="dxa" w:w="130"/>
              <w:bottom w:type="dxa" w:w="90"/>
              <w:right w:type="dxa" w:w="130"/>
            </w:tcMar>
          </w:tcPr>
          <w:p>
            <w:r>
              <w:rPr>
                <w:b w:val="false"/>
                <w:bCs w:val="false"/>
                <w:color w:val="33303F"/>
                <w:sz w:val="20"/>
                <w:szCs w:val="20"/>
              </w:rPr>
              <w:t xml:space="preserve">Dépenses variables</w:t>
            </w:r>
          </w:p>
        </w:tc>
        <w:tc>
          <w:tcPr>
            <w:tcW w:type="dxa" w:w="1875"/>
            <w:tcMar>
              <w:top w:type="dxa" w:w="90"/>
              <w:left w:type="dxa" w:w="130"/>
              <w:bottom w:type="dxa" w:w="90"/>
              <w:right w:type="dxa" w:w="130"/>
            </w:tcMar>
          </w:tcPr>
          <w:p>
            <w:r>
              <w:rPr>
                <w:b w:val="false"/>
                <w:bCs w:val="false"/>
                <w:color w:val="33303F"/>
                <w:sz w:val="20"/>
                <w:szCs w:val="20"/>
              </w:rPr>
              <w:t xml:space="preserve">2 300 €</w:t>
            </w:r>
          </w:p>
        </w:tc>
        <w:tc>
          <w:tcPr>
            <w:tcW w:type="dxa" w:w="1875"/>
            <w:tcMar>
              <w:top w:type="dxa" w:w="90"/>
              <w:left w:type="dxa" w:w="130"/>
              <w:bottom w:type="dxa" w:w="90"/>
              <w:right w:type="dxa" w:w="130"/>
            </w:tcMar>
          </w:tcPr>
          <w:p>
            <w:r>
              <w:rPr>
                <w:b w:val="false"/>
                <w:bCs w:val="false"/>
                <w:color w:val="33303F"/>
                <w:sz w:val="20"/>
                <w:szCs w:val="20"/>
              </w:rPr>
              <w:t xml:space="preserve">3 142 €</w:t>
            </w:r>
          </w:p>
        </w:tc>
        <w:tc>
          <w:tcPr>
            <w:tcW w:type="dxa" w:w="1876"/>
            <w:tcMar>
              <w:top w:type="dxa" w:w="90"/>
              <w:left w:type="dxa" w:w="130"/>
              <w:bottom w:type="dxa" w:w="90"/>
              <w:right w:type="dxa" w:w="130"/>
            </w:tcMar>
          </w:tcPr>
          <w:p>
            <w:r>
              <w:rPr>
                <w:b w:val="false"/>
                <w:bCs w:val="false"/>
                <w:color w:val="33303F"/>
                <w:sz w:val="20"/>
                <w:szCs w:val="20"/>
              </w:rPr>
              <w:t xml:space="preserve">+ 842 €</w:t>
            </w:r>
          </w:p>
        </w:tc>
      </w:tr>
    </w:tbl>
    <w:p>
      <w:pPr>
        <w:spacing w:after="160"/>
      </w:pPr>
      <w:r>
        <w:rPr>
          <w:b w:val="false"/>
          <w:bCs w:val="false"/>
          <w:i w:val="false"/>
          <w:iCs w:val="false"/>
          <w:color w:val="33303F"/>
          <w:sz w:val="21"/>
          <w:szCs w:val="21"/>
        </w:rPr>
        <w:t xml:space="preserve"/>
      </w:r>
    </w:p>
    <w:p>
      <w:pPr>
        <w:spacing w:after="120"/>
      </w:pPr>
      <w:r>
        <w:rPr>
          <w:b w:val="false"/>
          <w:bCs w:val="false"/>
          <w:i w:val="false"/>
          <w:iCs w:val="false"/>
          <w:color w:val="33303F"/>
          <w:sz w:val="21"/>
          <w:szCs w:val="21"/>
        </w:rPr>
        <w:t xml:space="preserve">Les fixes et les crédits sont tenus. Tout se joue sur les variables, et cinq postes font l'essentiel du dépassement : vêtements, restaurants, loisirs autres, santé et cadeaux. C'est précisément ce que la section Poste par poste met en tête de liste.</w:t>
      </w:r>
    </w:p>
    <w:p>
      <w:pPr>
        <w:spacing w:after="120"/>
      </w:pPr>
      <w:r>
        <w:rPr>
          <w:b w:val="false"/>
          <w:bCs w:val="false"/>
          <w:i w:val="false"/>
          <w:iCs w:val="false"/>
          <w:color w:val="33303F"/>
          <w:sz w:val="21"/>
          <w:szCs w:val="21"/>
        </w:rPr>
        <w:t xml:space="preserve">Deux façons de traiter ça, et il faut choisir : </w:t>
      </w:r>
      <w:r>
        <w:rPr>
          <w:b/>
          <w:bCs/>
          <w:i w:val="false"/>
          <w:iCs w:val="false"/>
          <w:color w:val="33303F"/>
          <w:sz w:val="21"/>
          <w:szCs w:val="21"/>
        </w:rPr>
        <w:t xml:space="preserve">soit tu ramènes ces postes vers leur prévu</w:t>
      </w:r>
      <w:r>
        <w:rPr>
          <w:b w:val="false"/>
          <w:bCs w:val="false"/>
          <w:i w:val="false"/>
          <w:iCs w:val="false"/>
          <w:color w:val="33303F"/>
          <w:sz w:val="21"/>
          <w:szCs w:val="21"/>
        </w:rPr>
        <w:t xml:space="preserve">, soit tu </w:t>
      </w:r>
      <w:r>
        <w:rPr>
          <w:b/>
          <w:bCs/>
          <w:i w:val="false"/>
          <w:iCs w:val="false"/>
          <w:color w:val="33303F"/>
          <w:sz w:val="21"/>
          <w:szCs w:val="21"/>
        </w:rPr>
        <w:t xml:space="preserve">relèves le prévu à ce que tu dépenses réellement</w:t>
      </w:r>
      <w:r>
        <w:rPr>
          <w:b w:val="false"/>
          <w:bCs w:val="false"/>
          <w:i w:val="false"/>
          <w:iCs w:val="false"/>
          <w:color w:val="33303F"/>
          <w:sz w:val="21"/>
          <w:szCs w:val="21"/>
        </w:rPr>
        <w:t xml:space="preserve"> et tu ajustes les enveloppes en conséquence. La seconde option est moins ambitieuse mais infiniment plus tenable, et un budget auquel on croit vaut mieux qu'un budget qu'on abandonne en mars.</w:t>
      </w:r>
    </w:p>
    <w:p>
      <w:pPr>
        <w:pStyle w:val="Heading1"/>
        <w:spacing w:after="140" w:before="360"/>
      </w:pPr>
      <w:r>
        <w:rPr>
          <w:b/>
          <w:bCs/>
          <w:color w:val="6B4E71"/>
          <w:sz w:val="30"/>
          <w:szCs w:val="30"/>
        </w:rPr>
        <w:t xml:space="preserve">6. Entretien et sauvegarde</w:t>
      </w:r>
    </w:p>
    <w:p>
      <w:pPr>
        <w:pStyle w:val="Heading2"/>
        <w:spacing w:after="100" w:before="240"/>
      </w:pPr>
      <w:r>
        <w:rPr>
          <w:b/>
          <w:bCs/>
          <w:color w:val="33303F"/>
          <w:sz w:val="24"/>
          <w:szCs w:val="24"/>
        </w:rPr>
        <w:t xml:space="preserve">Sauvegarder</w:t>
      </w:r>
    </w:p>
    <w:p>
      <w:pPr>
        <w:spacing w:after="120"/>
      </w:pPr>
      <w:r>
        <w:rPr>
          <w:b w:val="false"/>
          <w:bCs w:val="false"/>
          <w:i w:val="false"/>
          <w:iCs w:val="false"/>
          <w:color w:val="33303F"/>
          <w:sz w:val="21"/>
          <w:szCs w:val="21"/>
        </w:rPr>
        <w:t xml:space="preserve">Onglet Comptes → « Exporter mes données » écrit un fichier JSON avec tout le carnet. « Importer un carnet » le restaure. Fais-le une fois par trimestre : les données vivent dans le navigateur, elles ne survivent pas à un nettoyage un peu zélé.</w:t>
      </w:r>
    </w:p>
    <w:p>
      <w:pPr>
        <w:pStyle w:val="Heading2"/>
        <w:spacing w:after="100" w:before="240"/>
      </w:pPr>
      <w:r>
        <w:rPr>
          <w:b/>
          <w:bCs/>
          <w:color w:val="33303F"/>
          <w:sz w:val="24"/>
          <w:szCs w:val="24"/>
        </w:rPr>
        <w:t xml:space="preserve">Repartir d'un classeur</w:t>
      </w:r>
    </w:p>
    <w:p>
      <w:pPr>
        <w:spacing w:after="120"/>
      </w:pPr>
      <w:r>
        <w:rPr>
          <w:b w:val="false"/>
          <w:bCs w:val="false"/>
          <w:i w:val="false"/>
          <w:iCs w:val="false"/>
          <w:color w:val="33303F"/>
          <w:sz w:val="21"/>
          <w:szCs w:val="21"/>
        </w:rPr>
        <w:t xml:space="preserve">Le script okane_vers_carnet.py régénère un carnet complet à partir d'un classeur Okane :</w:t>
      </w:r>
    </w:p>
    <w:p>
      <w:pPr>
        <w:shd w:fill="F3EFF3" w:val="clear"/>
        <w:spacing w:after="60"/>
      </w:pPr>
      <w:r>
        <w:rPr>
          <w:rFonts w:ascii="Consolas" w:cs="Consolas" w:eastAsia="Consolas" w:hAnsi="Consolas"/>
          <w:color w:val="33303F"/>
          <w:sz w:val="19"/>
          <w:szCs w:val="19"/>
        </w:rPr>
        <w:t xml:space="preserve">  python3 okane_vers_carnet.py Okane_2026.xlsx carnet.json --regles regles.js  </w:t>
      </w:r>
    </w:p>
    <w:p>
      <w:pPr>
        <w:spacing w:after="200"/>
      </w:pPr>
      <w:r>
        <w:rPr>
          <w:b w:val="false"/>
          <w:bCs w:val="false"/>
          <w:i w:val="false"/>
          <w:iCs w:val="false"/>
          <w:color w:val="33303F"/>
          <w:sz w:val="21"/>
          <w:szCs w:val="21"/>
        </w:rPr>
        <w:t xml:space="preserve">Il lit l'onglet Config, dédoublonne les onglets de flux, récupère les capitaux restant dus du relevé Crédit Mutuel, et affiche l'écart prévu / réel poste par poste. L'option --reel cale les prévus sur ce que tu dépenses vraiment. L'option --regles régénère le tableau de catégorisation automatique, à recoller dans le fichier HTML.</w:t>
      </w:r>
    </w:p>
    <w:p>
      <w:pPr>
        <w:pStyle w:val="Heading2"/>
        <w:spacing w:after="100" w:before="240"/>
      </w:pPr>
      <w:r>
        <w:rPr>
          <w:b/>
          <w:bCs/>
          <w:color w:val="33303F"/>
          <w:sz w:val="24"/>
          <w:szCs w:val="24"/>
        </w:rPr>
        <w:t xml:space="preserve">Ce que le carnet ne fait pas</w:t>
      </w:r>
    </w:p>
    <w:p>
      <w:pPr>
        <w:pStyle w:val="ListParagraph"/>
        <w:numPr>
          <w:ilvl w:val="0"/>
          <w:numId w:val="3"/>
        </w:numPr>
        <w:spacing w:after="70"/>
      </w:pPr>
      <w:r>
        <w:rPr>
          <w:color w:val="33303F"/>
          <w:sz w:val="21"/>
          <w:szCs w:val="21"/>
        </w:rPr>
        <w:t xml:space="preserve">Il ne se connecte à aucune banque : tout passe par le CSV.</w:t>
      </w:r>
    </w:p>
    <w:p>
      <w:pPr>
        <w:pStyle w:val="ListParagraph"/>
        <w:numPr>
          <w:ilvl w:val="0"/>
          <w:numId w:val="3"/>
        </w:numPr>
        <w:spacing w:after="70"/>
      </w:pPr>
      <w:r>
        <w:rPr>
          <w:color w:val="33303F"/>
          <w:sz w:val="21"/>
          <w:szCs w:val="21"/>
        </w:rPr>
        <w:t xml:space="preserve">Il suppose des crédits à taux fixe, sans modulation d'échéance ni remboursement partiel.</w:t>
      </w:r>
    </w:p>
    <w:p>
      <w:pPr>
        <w:pStyle w:val="ListParagraph"/>
        <w:numPr>
          <w:ilvl w:val="0"/>
          <w:numId w:val="3"/>
        </w:numPr>
        <w:spacing w:after="70"/>
      </w:pPr>
      <w:r>
        <w:rPr>
          <w:color w:val="33303F"/>
          <w:sz w:val="21"/>
          <w:szCs w:val="21"/>
        </w:rPr>
        <w:t xml:space="preserve">Il ne connaît ni la fiscalité, ni les plafonds de livrets, ni ta capacité d'emprunt réelle.</w:t>
      </w:r>
    </w:p>
    <w:p>
      <w:pPr>
        <w:pStyle w:val="ListParagraph"/>
        <w:numPr>
          <w:ilvl w:val="0"/>
          <w:numId w:val="3"/>
        </w:numPr>
        <w:spacing w:after="70"/>
      </w:pPr>
      <w:r>
        <w:rPr>
          <w:color w:val="33303F"/>
          <w:sz w:val="21"/>
          <w:szCs w:val="21"/>
        </w:rPr>
        <w:t xml:space="preserve">Il ne remplace pas un courtier ni un conseiller : pour la faisabilité d'un achat-revente, ce sont eux qui tranchent.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Carnet d'enveloppes — mode opératoire</dc:title>
  <dc:creator>Carnet d'enveloppes</dc:creator>
  <cp:lastModifiedBy>Un-named</cp:lastModifiedBy>
  <cp:revision>1</cp:revision>
  <dcterms:created xsi:type="dcterms:W3CDTF">2026-07-29T14:18:58.408Z</dcterms:created>
  <dcterms:modified xsi:type="dcterms:W3CDTF">2026-07-29T14:18:58.408Z</dcterms:modified>
</cp:coreProperties>
</file>

<file path=docProps/custom.xml><?xml version="1.0" encoding="utf-8"?>
<Properties xmlns="http://schemas.openxmlformats.org/officeDocument/2006/custom-properties" xmlns:vt="http://schemas.openxmlformats.org/officeDocument/2006/docPropsVTypes"/>
</file>