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Neue" w:hAnsi="Helvetica Neue" w:eastAsia="Helvetica Neue"/>
          <w:b/>
          <w:color w:val="14213D"/>
          <w:sz w:val="60"/>
        </w:rPr>
        <w:t>Suggestion Coverage Architecture</w:t>
      </w:r>
    </w:p>
    <w:p>
      <w:pPr>
        <w:spacing w:before="0" w:after="360" w:line="269" w:lineRule="auto"/>
      </w:pPr>
      <w:r>
        <w:rPr>
          <w:rFonts w:ascii="Helvetica Neue" w:hAnsi="Helvetica Neue" w:eastAsia="Helvetica Neue"/>
          <w:b w:val="0"/>
          <w:color w:val="5E6775"/>
          <w:sz w:val="26"/>
        </w:rPr>
        <w:t>A short onboarding guide to the percentage model and Diff Precision Recall</w:t>
      </w:r>
    </w:p>
    <w:tbl>
      <w:tblPr>
        <w:tblW w:type="auto" w:w="0"/>
        <w:jc w:val="center"/>
        <w:tblLayout w:type="fixed"/>
        <w:tblLook w:firstColumn="1" w:firstRow="1" w:lastColumn="0" w:lastRow="0" w:noHBand="0" w:noVBand="1" w:val="04A0"/>
      </w:tblPr>
      <w:tblGrid>
        <w:gridCol w:w="10166"/>
      </w:tblGrid>
      <w:tr>
        <w:tc>
          <w:tcPr>
            <w:tcW w:type="dxa" w:w="9648"/>
            <w:shd w:fill="D9EEE8"/>
            <w:tcMar>
              <w:top w:w="140" w:type="dxa"/>
              <w:start w:w="140" w:type="dxa"/>
              <w:bottom w:w="140" w:type="dxa"/>
              <w:end w:w="140" w:type="dxa"/>
            </w:tcMar>
            <w:vAlign w:val="center"/>
          </w:tcPr>
          <w:p>
            <w:r>
              <w:rPr>
                <w:rFonts w:ascii="Helvetica Neue" w:hAnsi="Helvetica Neue" w:eastAsia="Helvetica Neue"/>
                <w:b/>
                <w:color w:val="218B75"/>
                <w:sz w:val="21"/>
              </w:rPr>
              <w:t>Decision</w:t>
              <w:br/>
            </w:r>
            <w:r>
              <w:rPr>
                <w:rFonts w:ascii="Helvetica Neue" w:hAnsi="Helvetica Neue" w:eastAsia="Helvetica Neue"/>
                <w:b w:val="0"/>
                <w:color w:val="14213D"/>
                <w:sz w:val="20"/>
              </w:rPr>
              <w:t>Use model_percentage as the primary estimate. Store aggregate_diff_f1 as the comparable whole-diff percentage and keep all six precision/recall values for diagnosis.</w:t>
            </w:r>
          </w:p>
        </w:tc>
      </w:tr>
    </w:tbl>
    <w:p>
      <w:pPr>
        <w:spacing w:after="20"/>
      </w:pPr>
    </w:p>
    <w:p>
      <w:pPr>
        <w:pStyle w:val="Heading1"/>
        <w:spacing w:before="180" w:after="100"/>
      </w:pPr>
      <w:r>
        <w:rPr>
          <w:rFonts w:ascii="Helvetica Neue" w:hAnsi="Helvetica Neue" w:eastAsia="Helvetica Neue"/>
          <w:b/>
          <w:color w:val="14213D"/>
          <w:sz w:val="36"/>
        </w:rPr>
        <w:t>What the system measures</w:t>
      </w:r>
    </w:p>
    <w:p>
      <w:pPr>
        <w:spacing w:before="0" w:after="140" w:line="269" w:lineRule="auto"/>
      </w:pPr>
      <w:r>
        <w:rPr>
          <w:rFonts w:ascii="Helvetica Neue" w:hAnsi="Helvetica Neue" w:eastAsia="Helvetica Neue"/>
          <w:b w:val="0"/>
          <w:color w:val="14213D"/>
          <w:sz w:val="21"/>
        </w:rPr>
        <w:t>After a pull request is merged, the system compares an earlier draft code suggestion with the final merged diff. The goal is to estimate how much of the suggestion appears in the delivered change. It does not prove that the suggestion caused the change or that the code is correct.</w:t>
      </w:r>
    </w:p>
    <w:tbl>
      <w:tblPr>
        <w:tblW w:type="auto" w:w="0"/>
        <w:jc w:val="center"/>
        <w:tblLayout w:type="fixed"/>
        <w:tblLook w:firstColumn="1" w:firstRow="1" w:lastColumn="0" w:lastRow="0" w:noHBand="0" w:noVBand="1" w:val="04A0"/>
      </w:tblPr>
      <w:tblGrid>
        <w:gridCol w:w="5083"/>
        <w:gridCol w:w="5083"/>
      </w:tblGrid>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Primary output</w:t>
            </w:r>
          </w:p>
        </w:tc>
        <w:tc>
          <w:tcPr>
            <w:tcW w:type="dxa" w:w="7416"/>
            <w:shd w:fill="FFFDF8"/>
            <w:tcMar>
              <w:top w:w="130" w:type="dxa"/>
              <w:start w:w="130" w:type="dxa"/>
              <w:bottom w:w="130" w:type="dxa"/>
              <w:end w:w="130" w:type="dxa"/>
            </w:tcMar>
            <w:vAlign w:val="center"/>
          </w:tcPr>
          <w:p>
            <w:r>
              <w:rPr>
                <w:rFonts w:ascii="Helvetica Neue" w:hAnsi="Helvetica Neue" w:eastAsia="Helvetica Neue"/>
                <w:b/>
                <w:color w:val="14213D"/>
                <w:sz w:val="20"/>
              </w:rPr>
              <w:t>model_percentage, one integer from 0 to 100</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Comparable</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aggregate_diff_f1, one 0-100 whole-diff similarity percentage</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Diagnostics</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token, file, and line precision and recall</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Precision</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overlap divided by draft: how much of the draft was kept</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Recall</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overlap divided by final: how much of the final was already in the draft</w:t>
            </w:r>
          </w:p>
        </w:tc>
      </w:tr>
    </w:tbl>
    <w:p>
      <w:pPr>
        <w:pStyle w:val="Heading1"/>
        <w:spacing w:before="180" w:after="100"/>
      </w:pPr>
      <w:r>
        <w:rPr>
          <w:rFonts w:ascii="Helvetica Neue" w:hAnsi="Helvetica Neue" w:eastAsia="Helvetica Neue"/>
          <w:b/>
          <w:color w:val="14213D"/>
          <w:sz w:val="36"/>
        </w:rPr>
        <w:t>How the aggregate is calculated</w:t>
      </w:r>
    </w:p>
    <w:p>
      <w:pPr>
        <w:spacing w:before="0" w:after="140" w:line="269" w:lineRule="auto"/>
      </w:pPr>
      <w:r>
        <w:rPr>
          <w:rFonts w:ascii="Helvetica Neue" w:hAnsi="Helvetica Neue" w:eastAsia="Helvetica Neue"/>
          <w:b w:val="0"/>
          <w:color w:val="14213D"/>
          <w:sz w:val="21"/>
        </w:rPr>
        <w:t>For tokens, files, and lines, calculate F1 = 2 x precision x recall / (precision + recall). Then average the three F1 values and multiply by 100. Equal weighting prevents the much larger token count from dominating the score.</w:t>
      </w:r>
    </w:p>
    <w:p>
      <w:pPr>
        <w:pStyle w:val="Heading1"/>
        <w:spacing w:before="180" w:after="100"/>
      </w:pPr>
      <w:r>
        <w:rPr>
          <w:rFonts w:ascii="Helvetica Neue" w:hAnsi="Helvetica Neue" w:eastAsia="Helvetica Neue"/>
          <w:b/>
          <w:color w:val="14213D"/>
          <w:sz w:val="36"/>
        </w:rPr>
        <w:t>How MAE is calculated</w:t>
      </w:r>
    </w:p>
    <w:p>
      <w:pPr>
        <w:spacing w:before="0" w:after="140" w:line="269" w:lineRule="auto"/>
      </w:pPr>
      <w:r>
        <w:rPr>
          <w:rFonts w:ascii="Helvetica Neue" w:hAnsi="Helvetica Neue" w:eastAsia="Helvetica Neue"/>
          <w:b w:val="0"/>
          <w:color w:val="14213D"/>
          <w:sz w:val="21"/>
        </w:rPr>
        <w:t>For each example, calculate |predicted percentage - reference percentage|. Add those absolute errors and divide by the number of examples. Errors of 5, 10, and 15 points produce an MAE of 10 points. Lower is better.</w:t>
      </w:r>
    </w:p>
    <w:p>
      <w:pPr>
        <w:pStyle w:val="Heading1"/>
        <w:spacing w:before="180" w:after="100"/>
      </w:pPr>
      <w:r>
        <w:rPr>
          <w:rFonts w:ascii="Helvetica Neue" w:hAnsi="Helvetica Neue" w:eastAsia="Helvetica Neue"/>
          <w:b/>
          <w:color w:val="14213D"/>
          <w:sz w:val="36"/>
        </w:rPr>
        <w:t>Why the model was selected</w:t>
      </w:r>
    </w:p>
    <w:p>
      <w:pPr>
        <w:pStyle w:val="ListBullet"/>
        <w:spacing w:after="60"/>
        <w:ind w:left="360" w:hanging="173"/>
      </w:pPr>
      <w:r>
        <w:rPr>
          <w:rFonts w:ascii="Helvetica Neue" w:hAnsi="Helvetica Neue" w:eastAsia="Helvetica Neue"/>
          <w:b w:val="0"/>
          <w:color w:val="14213D"/>
          <w:sz w:val="20"/>
        </w:rPr>
        <w:t>Held-out MAE: 9.74 points for the model versus 62.03 for Aggregate Diff F1.</w:t>
      </w:r>
    </w:p>
    <w:p>
      <w:pPr>
        <w:pStyle w:val="ListBullet"/>
        <w:spacing w:after="60"/>
        <w:ind w:left="360" w:hanging="173"/>
      </w:pPr>
      <w:r>
        <w:rPr>
          <w:rFonts w:ascii="Helvetica Neue" w:hAnsi="Helvetica Neue" w:eastAsia="Helvetica Neue"/>
          <w:b w:val="0"/>
          <w:color w:val="14213D"/>
          <w:sz w:val="20"/>
        </w:rPr>
        <w:t>Within 10 points: 74.3 percent for the model versus 10.0 percent.</w:t>
      </w:r>
    </w:p>
    <w:p>
      <w:pPr>
        <w:pStyle w:val="ListBullet"/>
        <w:spacing w:after="60"/>
        <w:ind w:left="360" w:hanging="173"/>
      </w:pPr>
      <w:r>
        <w:rPr>
          <w:rFonts w:ascii="Helvetica Neue" w:hAnsi="Helvetica Neue" w:eastAsia="Helvetica Neue"/>
          <w:b w:val="0"/>
          <w:color w:val="14213D"/>
          <w:sz w:val="20"/>
        </w:rPr>
        <w:t>Serious opposite-end errors: 1.4 percent for the model versus 58.6 percent.</w:t>
      </w:r>
    </w:p>
    <w:p>
      <w:pPr>
        <w:spacing w:before="0" w:after="140" w:line="269" w:lineRule="auto"/>
      </w:pPr>
      <w:r>
        <w:rPr>
          <w:rFonts w:ascii="Helvetica Neue" w:hAnsi="Helvetica Neue" w:eastAsia="Helvetica Neue"/>
          <w:b w:val="0"/>
          <w:color w:val="5E6775"/>
          <w:sz w:val="21"/>
        </w:rPr>
        <w:t>Aggregate Diff F1 is a valid comparable percentage, but it measures balanced whole-diff similarity. The model targets the reference estimate of draft survival. Extra work in the final pull request lowers recall and therefore lowers the aggregate.</w:t>
      </w:r>
    </w:p>
    <w:p>
      <w:pPr>
        <w:spacing w:before="80" w:after="40" w:line="269" w:lineRule="auto"/>
      </w:pPr>
      <w:r>
        <w:rPr>
          <w:rFonts w:ascii="Helvetica Neue" w:hAnsi="Helvetica Neue" w:eastAsia="Helvetica Neue"/>
          <w:b/>
          <w:color w:val="2864DC"/>
          <w:sz w:val="17"/>
        </w:rPr>
        <w:t>ARCHITECTURE</w:t>
      </w:r>
    </w:p>
    <w:p>
      <w:pPr>
        <w:pStyle w:val="Heading1"/>
        <w:spacing w:before="180" w:after="100"/>
      </w:pPr>
      <w:r>
        <w:rPr>
          <w:rFonts w:ascii="Helvetica Neue" w:hAnsi="Helvetica Neue" w:eastAsia="Helvetica Neue"/>
          <w:b/>
          <w:color w:val="14213D"/>
          <w:sz w:val="36"/>
        </w:rPr>
        <w:t>End to end flow</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901"/>
            <w:shd w:fill="DDE8FF"/>
            <w:tcMar>
              <w:top w:w="100" w:type="dxa"/>
              <w:start w:w="100" w:type="dxa"/>
              <w:bottom w:w="100" w:type="dxa"/>
              <w:end w:w="100" w:type="dxa"/>
            </w:tcMar>
            <w:vAlign w:val="center"/>
          </w:tcPr>
          <w:p>
            <w:pPr>
              <w:jc w:val="center"/>
            </w:pPr>
            <w:r>
              <w:rPr>
                <w:rFonts w:ascii="Helvetica Neue" w:hAnsi="Helvetica Neue" w:eastAsia="Helvetica Neue"/>
                <w:b/>
                <w:color w:val="2864DC"/>
                <w:sz w:val="18"/>
              </w:rPr>
              <w:t>1 Event</w:t>
              <w:br/>
            </w:r>
            <w:r>
              <w:rPr>
                <w:rFonts w:ascii="Helvetica Neue" w:hAnsi="Helvetica Neue" w:eastAsia="Helvetica Neue"/>
                <w:b w:val="0"/>
                <w:color w:val="14213D"/>
                <w:sz w:val="17"/>
              </w:rPr>
              <w:t>Merged PR</w:t>
            </w:r>
          </w:p>
        </w:tc>
        <w:tc>
          <w:tcPr>
            <w:tcW w:type="dxa" w:w="1901"/>
            <w:shd w:fill="F6F0E6"/>
            <w:tcMar>
              <w:top w:w="100" w:type="dxa"/>
              <w:start w:w="100" w:type="dxa"/>
              <w:bottom w:w="100" w:type="dxa"/>
              <w:end w:w="100" w:type="dxa"/>
            </w:tcMar>
            <w:vAlign w:val="center"/>
          </w:tcPr>
          <w:p>
            <w:pPr>
              <w:jc w:val="center"/>
            </w:pPr>
            <w:r>
              <w:rPr>
                <w:rFonts w:ascii="Helvetica Neue" w:hAnsi="Helvetica Neue" w:eastAsia="Helvetica Neue"/>
                <w:b/>
                <w:color w:val="2864DC"/>
                <w:sz w:val="18"/>
              </w:rPr>
              <w:t>2 Correlate</w:t>
              <w:br/>
            </w:r>
            <w:r>
              <w:rPr>
                <w:rFonts w:ascii="Helvetica Neue" w:hAnsi="Helvetica Neue" w:eastAsia="Helvetica Neue"/>
                <w:b w:val="0"/>
                <w:color w:val="14213D"/>
                <w:sz w:val="17"/>
              </w:rPr>
              <w:t>Find inspection</w:t>
            </w:r>
          </w:p>
        </w:tc>
        <w:tc>
          <w:tcPr>
            <w:tcW w:type="dxa" w:w="1901"/>
            <w:shd w:fill="DDE8FF"/>
            <w:tcMar>
              <w:top w:w="100" w:type="dxa"/>
              <w:start w:w="100" w:type="dxa"/>
              <w:bottom w:w="100" w:type="dxa"/>
              <w:end w:w="100" w:type="dxa"/>
            </w:tcMar>
            <w:vAlign w:val="center"/>
          </w:tcPr>
          <w:p>
            <w:pPr>
              <w:jc w:val="center"/>
            </w:pPr>
            <w:r>
              <w:rPr>
                <w:rFonts w:ascii="Helvetica Neue" w:hAnsi="Helvetica Neue" w:eastAsia="Helvetica Neue"/>
                <w:b/>
                <w:color w:val="2864DC"/>
                <w:sz w:val="18"/>
              </w:rPr>
              <w:t>3 Load</w:t>
              <w:br/>
            </w:r>
            <w:r>
              <w:rPr>
                <w:rFonts w:ascii="Helvetica Neue" w:hAnsi="Helvetica Neue" w:eastAsia="Helvetica Neue"/>
                <w:b w:val="0"/>
                <w:color w:val="14213D"/>
                <w:sz w:val="17"/>
              </w:rPr>
              <w:t>Draft + final diff</w:t>
            </w:r>
          </w:p>
        </w:tc>
        <w:tc>
          <w:tcPr>
            <w:tcW w:type="dxa" w:w="1901"/>
            <w:shd w:fill="F6F0E6"/>
            <w:tcMar>
              <w:top w:w="100" w:type="dxa"/>
              <w:start w:w="100" w:type="dxa"/>
              <w:bottom w:w="100" w:type="dxa"/>
              <w:end w:w="100" w:type="dxa"/>
            </w:tcMar>
            <w:vAlign w:val="center"/>
          </w:tcPr>
          <w:p>
            <w:pPr>
              <w:jc w:val="center"/>
            </w:pPr>
            <w:r>
              <w:rPr>
                <w:rFonts w:ascii="Helvetica Neue" w:hAnsi="Helvetica Neue" w:eastAsia="Helvetica Neue"/>
                <w:b/>
                <w:color w:val="2864DC"/>
                <w:sz w:val="18"/>
              </w:rPr>
              <w:t>4 Score</w:t>
              <w:br/>
            </w:r>
            <w:r>
              <w:rPr>
                <w:rFonts w:ascii="Helvetica Neue" w:hAnsi="Helvetica Neue" w:eastAsia="Helvetica Neue"/>
                <w:b w:val="0"/>
                <w:color w:val="14213D"/>
                <w:sz w:val="17"/>
              </w:rPr>
              <w:t>Model + aggregate + P/R</w:t>
            </w:r>
          </w:p>
        </w:tc>
        <w:tc>
          <w:tcPr>
            <w:tcW w:type="dxa" w:w="1901"/>
            <w:shd w:fill="2864DC"/>
            <w:tcMar>
              <w:top w:w="100" w:type="dxa"/>
              <w:start w:w="100" w:type="dxa"/>
              <w:bottom w:w="100" w:type="dxa"/>
              <w:end w:w="100" w:type="dxa"/>
            </w:tcMar>
            <w:vAlign w:val="center"/>
          </w:tcPr>
          <w:p>
            <w:pPr>
              <w:jc w:val="center"/>
            </w:pPr>
            <w:r>
              <w:rPr>
                <w:rFonts w:ascii="Helvetica Neue" w:hAnsi="Helvetica Neue" w:eastAsia="Helvetica Neue"/>
                <w:b/>
                <w:color w:val="FFFFFF"/>
                <w:sz w:val="18"/>
              </w:rPr>
              <w:t>5 Persist</w:t>
              <w:br/>
            </w:r>
            <w:r>
              <w:rPr>
                <w:rFonts w:ascii="Helvetica Neue" w:hAnsi="Helvetica Neue" w:eastAsia="Helvetica Neue"/>
                <w:b w:val="0"/>
                <w:color w:val="FFFFFF"/>
                <w:sz w:val="17"/>
              </w:rPr>
              <w:t>Values + evidence</w:t>
            </w:r>
          </w:p>
        </w:tc>
      </w:tr>
    </w:tbl>
    <w:p>
      <w:pPr>
        <w:pStyle w:val="Heading1"/>
        <w:spacing w:before="180" w:after="100"/>
      </w:pPr>
      <w:r>
        <w:rPr>
          <w:rFonts w:ascii="Helvetica Neue" w:hAnsi="Helvetica Neue" w:eastAsia="Helvetica Neue"/>
          <w:b/>
          <w:color w:val="14213D"/>
          <w:sz w:val="36"/>
        </w:rPr>
        <w:t>Scoring layer</w:t>
      </w:r>
    </w:p>
    <w:tbl>
      <w:tblPr>
        <w:tblW w:type="auto" w:w="0"/>
        <w:jc w:val="center"/>
        <w:tblLayout w:type="fixed"/>
        <w:tblLook w:firstColumn="1" w:firstRow="1" w:lastColumn="0" w:lastRow="0" w:noHBand="0" w:noVBand="1" w:val="04A0"/>
      </w:tblPr>
      <w:tblGrid>
        <w:gridCol w:w="5083"/>
        <w:gridCol w:w="5083"/>
      </w:tblGrid>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Token P/R</w:t>
            </w:r>
          </w:p>
        </w:tc>
        <w:tc>
          <w:tcPr>
            <w:tcW w:type="dxa" w:w="7416"/>
            <w:shd w:fill="FFFDF8"/>
            <w:tcMar>
              <w:top w:w="130" w:type="dxa"/>
              <w:start w:w="130" w:type="dxa"/>
              <w:bottom w:w="130" w:type="dxa"/>
              <w:end w:w="130" w:type="dxa"/>
            </w:tcMar>
            <w:vAlign w:val="center"/>
          </w:tcPr>
          <w:p>
            <w:r>
              <w:rPr>
                <w:rFonts w:ascii="Helvetica Neue" w:hAnsi="Helvetica Neue" w:eastAsia="Helvetica Neue"/>
                <w:b/>
                <w:color w:val="14213D"/>
                <w:sz w:val="20"/>
              </w:rPr>
              <w:t>Word-token overlap across raw unified diff strings</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File P/R</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Overlap in normalized changed-file sets</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Line P/R</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Overlap in stripped added and removed line occurrences</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Aggregate</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Equal-weight mean of token F1, file F1, and line F1</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Model</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Weighted ensemble over overlap, hunk, language, and structural features</w:t>
            </w:r>
          </w:p>
        </w:tc>
      </w:tr>
    </w:tbl>
    <w:p>
      <w:pPr>
        <w:pStyle w:val="Heading1"/>
        <w:spacing w:before="180" w:after="100"/>
      </w:pPr>
      <w:r>
        <w:rPr>
          <w:rFonts w:ascii="Helvetica Neue" w:hAnsi="Helvetica Neue" w:eastAsia="Helvetica Neue"/>
          <w:b/>
          <w:color w:val="14213D"/>
          <w:sz w:val="36"/>
        </w:rPr>
        <w:t>Why the ensemble has three components</w:t>
      </w:r>
    </w:p>
    <w:tbl>
      <w:tblPr>
        <w:tblW w:type="auto" w:w="0"/>
        <w:jc w:val="center"/>
        <w:tblLayout w:type="fixed"/>
        <w:tblLook w:firstColumn="1" w:firstRow="1" w:lastColumn="0" w:lastRow="0" w:noHBand="0" w:noVBand="1" w:val="04A0"/>
      </w:tblPr>
      <w:tblGrid>
        <w:gridCol w:w="5083"/>
        <w:gridCol w:w="5083"/>
      </w:tblGrid>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50% Random Forest</w:t>
            </w:r>
          </w:p>
        </w:tc>
        <w:tc>
          <w:tcPr>
            <w:tcW w:type="dxa" w:w="7416"/>
            <w:shd w:fill="FFFDF8"/>
            <w:tcMar>
              <w:top w:w="130" w:type="dxa"/>
              <w:start w:w="130" w:type="dxa"/>
              <w:bottom w:w="130" w:type="dxa"/>
              <w:end w:w="130" w:type="dxa"/>
            </w:tcMar>
            <w:vAlign w:val="center"/>
          </w:tcPr>
          <w:p>
            <w:r>
              <w:rPr>
                <w:rFonts w:ascii="Helvetica Neue" w:hAnsi="Helvetica Neue" w:eastAsia="Helvetica Neue"/>
                <w:b/>
                <w:color w:val="14213D"/>
                <w:sz w:val="20"/>
              </w:rPr>
              <w:t>Stable nonlinear anchor for a small tabular dataset; best component RMSE on the holdout</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30% two-stage</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Separates 0, partial, and 100 percent before estimating partial cases; best component within-five rate</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20% CatBoost MAE</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Handles categorical context directly and reduces outlier influence; best component within-ten rate and zero serious errors</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Selection</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Weights chosen by repeated pull-request-grouped out-of-fold validation; fallback to the baseline above 20-point disagreement</w:t>
            </w:r>
          </w:p>
        </w:tc>
      </w:tr>
    </w:tbl>
    <w:tbl>
      <w:tblPr>
        <w:tblW w:type="auto" w:w="0"/>
        <w:jc w:val="center"/>
        <w:tblLayout w:type="fixed"/>
        <w:tblLook w:firstColumn="1" w:firstRow="1" w:lastColumn="0" w:lastRow="0" w:noHBand="0" w:noVBand="1" w:val="04A0"/>
      </w:tblPr>
      <w:tblGrid>
        <w:gridCol w:w="10166"/>
      </w:tblGrid>
      <w:tr>
        <w:tc>
          <w:tcPr>
            <w:tcW w:type="dxa" w:w="9648"/>
            <w:shd w:fill="F9DDD5"/>
            <w:tcMar>
              <w:top w:w="140" w:type="dxa"/>
              <w:start w:w="140" w:type="dxa"/>
              <w:bottom w:w="140" w:type="dxa"/>
              <w:end w:w="140" w:type="dxa"/>
            </w:tcMar>
            <w:vAlign w:val="center"/>
          </w:tcPr>
          <w:p>
            <w:r>
              <w:rPr>
                <w:rFonts w:ascii="Helvetica Neue" w:hAnsi="Helvetica Neue" w:eastAsia="Helvetica Neue"/>
                <w:b/>
                <w:color w:val="E76F51"/>
                <w:sz w:val="21"/>
              </w:rPr>
              <w:t>Use each output for its own purpose</w:t>
              <w:br/>
            </w:r>
            <w:r>
              <w:rPr>
                <w:rFonts w:ascii="Helvetica Neue" w:hAnsi="Helvetica Neue" w:eastAsia="Helvetica Neue"/>
                <w:b w:val="0"/>
                <w:color w:val="14213D"/>
                <w:sz w:val="20"/>
              </w:rPr>
              <w:t>Use the model for the primary coverage estimate, Aggregate Diff F1 for a comparable whole-diff similarity percentage, and the six P/R values to explain disagreements.</w:t>
            </w:r>
          </w:p>
        </w:tc>
      </w:tr>
    </w:tbl>
    <w:p>
      <w:pPr>
        <w:spacing w:after="20"/>
      </w:pPr>
    </w:p>
    <w:p>
      <w:pPr>
        <w:pStyle w:val="Heading1"/>
        <w:spacing w:before="180" w:after="100"/>
      </w:pPr>
      <w:r>
        <w:rPr>
          <w:rFonts w:ascii="Helvetica Neue" w:hAnsi="Helvetica Neue" w:eastAsia="Helvetica Neue"/>
          <w:b/>
          <w:color w:val="14213D"/>
          <w:sz w:val="36"/>
        </w:rPr>
        <w:t>Recommended stored result</w:t>
      </w:r>
    </w:p>
    <w:p>
      <w:pPr>
        <w:pStyle w:val="ListBullet"/>
        <w:spacing w:after="60"/>
        <w:ind w:left="360" w:hanging="173"/>
      </w:pPr>
      <w:r>
        <w:rPr>
          <w:rFonts w:ascii="Helvetica Neue" w:hAnsi="Helvetica Neue" w:eastAsia="Helvetica Neue"/>
          <w:b w:val="0"/>
          <w:color w:val="14213D"/>
          <w:sz w:val="20"/>
        </w:rPr>
        <w:t>model_percentage</w:t>
      </w:r>
    </w:p>
    <w:p>
      <w:pPr>
        <w:pStyle w:val="ListBullet"/>
        <w:spacing w:after="60"/>
        <w:ind w:left="360" w:hanging="173"/>
      </w:pPr>
      <w:r>
        <w:rPr>
          <w:rFonts w:ascii="Helvetica Neue" w:hAnsi="Helvetica Neue" w:eastAsia="Helvetica Neue"/>
          <w:b w:val="0"/>
          <w:color w:val="14213D"/>
          <w:sz w:val="20"/>
        </w:rPr>
        <w:t>aggregate_diff_f1</w:t>
      </w:r>
    </w:p>
    <w:p>
      <w:pPr>
        <w:pStyle w:val="ListBullet"/>
        <w:spacing w:after="60"/>
        <w:ind w:left="360" w:hanging="173"/>
      </w:pPr>
      <w:r>
        <w:rPr>
          <w:rFonts w:ascii="Helvetica Neue" w:hAnsi="Helvetica Neue" w:eastAsia="Helvetica Neue"/>
          <w:b w:val="0"/>
          <w:color w:val="14213D"/>
          <w:sz w:val="20"/>
        </w:rPr>
        <w:t>token_precision and token_recall</w:t>
      </w:r>
    </w:p>
    <w:p>
      <w:pPr>
        <w:pStyle w:val="ListBullet"/>
        <w:spacing w:after="60"/>
        <w:ind w:left="360" w:hanging="173"/>
      </w:pPr>
      <w:r>
        <w:rPr>
          <w:rFonts w:ascii="Helvetica Neue" w:hAnsi="Helvetica Neue" w:eastAsia="Helvetica Neue"/>
          <w:b w:val="0"/>
          <w:color w:val="14213D"/>
          <w:sz w:val="20"/>
        </w:rPr>
        <w:t>file_precision and file_recall</w:t>
      </w:r>
    </w:p>
    <w:p>
      <w:pPr>
        <w:pStyle w:val="ListBullet"/>
        <w:spacing w:after="60"/>
        <w:ind w:left="360" w:hanging="173"/>
      </w:pPr>
      <w:r>
        <w:rPr>
          <w:rFonts w:ascii="Helvetica Neue" w:hAnsi="Helvetica Neue" w:eastAsia="Helvetica Neue"/>
          <w:b w:val="0"/>
          <w:color w:val="14213D"/>
          <w:sz w:val="20"/>
        </w:rPr>
        <w:t>line_precision and line_recall</w:t>
      </w:r>
    </w:p>
    <w:p>
      <w:pPr>
        <w:pStyle w:val="ListBullet"/>
        <w:spacing w:after="60"/>
        <w:ind w:left="360" w:hanging="173"/>
      </w:pPr>
      <w:r>
        <w:rPr>
          <w:rFonts w:ascii="Helvetica Neue" w:hAnsi="Helvetica Neue" w:eastAsia="Helvetica Neue"/>
          <w:b w:val="0"/>
          <w:color w:val="14213D"/>
          <w:sz w:val="20"/>
        </w:rPr>
        <w:t>model_version, metric_version, and feature_version</w:t>
      </w:r>
    </w:p>
    <w:p>
      <w:pPr>
        <w:pStyle w:val="ListBullet"/>
        <w:spacing w:after="60"/>
        <w:ind w:left="360" w:hanging="173"/>
      </w:pPr>
      <w:r>
        <w:rPr>
          <w:rFonts w:ascii="Helvetica Neue" w:hAnsi="Helvetica Neue" w:eastAsia="Helvetica Neue"/>
          <w:b w:val="0"/>
          <w:color w:val="14213D"/>
          <w:sz w:val="20"/>
        </w:rPr>
        <w:t>warnings and evidence paths</w:t>
      </w:r>
    </w:p>
    <w:p>
      <w:pPr>
        <w:spacing w:before="80" w:after="40" w:line="269" w:lineRule="auto"/>
      </w:pPr>
      <w:r>
        <w:rPr>
          <w:rFonts w:ascii="Helvetica Neue" w:hAnsi="Helvetica Neue" w:eastAsia="Helvetica Neue"/>
          <w:b/>
          <w:color w:val="218B75"/>
          <w:sz w:val="17"/>
        </w:rPr>
        <w:t>LIFECYCLE</w:t>
      </w:r>
    </w:p>
    <w:p>
      <w:pPr>
        <w:pStyle w:val="Heading1"/>
        <w:spacing w:before="180" w:after="100"/>
      </w:pPr>
      <w:r>
        <w:rPr>
          <w:rFonts w:ascii="Helvetica Neue" w:hAnsi="Helvetica Neue" w:eastAsia="Helvetica Neue"/>
          <w:b/>
          <w:color w:val="14213D"/>
          <w:sz w:val="36"/>
        </w:rPr>
        <w:t>Minimum support</w:t>
      </w:r>
    </w:p>
    <w:tbl>
      <w:tblPr>
        <w:tblW w:type="auto" w:w="0"/>
        <w:jc w:val="center"/>
        <w:tblLayout w:type="fixed"/>
        <w:tblLook w:firstColumn="1" w:firstRow="1" w:lastColumn="0" w:lastRow="0" w:noHBand="0" w:noVBand="1" w:val="04A0"/>
      </w:tblPr>
      <w:tblGrid>
        <w:gridCol w:w="5083"/>
        <w:gridCol w:w="5083"/>
      </w:tblGrid>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Build</w:t>
            </w:r>
          </w:p>
        </w:tc>
        <w:tc>
          <w:tcPr>
            <w:tcW w:type="dxa" w:w="7416"/>
            <w:shd w:fill="FFFDF8"/>
            <w:tcMar>
              <w:top w:w="130" w:type="dxa"/>
              <w:start w:w="130" w:type="dxa"/>
              <w:bottom w:w="130" w:type="dxa"/>
              <w:end w:w="130" w:type="dxa"/>
            </w:tcMar>
            <w:vAlign w:val="center"/>
          </w:tcPr>
          <w:p>
            <w:r>
              <w:rPr>
                <w:rFonts w:ascii="Helvetica Neue" w:hAnsi="Helvetica Neue" w:eastAsia="Helvetica Neue"/>
                <w:b/>
                <w:color w:val="14213D"/>
                <w:sz w:val="20"/>
              </w:rPr>
              <w:t>Version parser, feature code, labels, schema, and model artifact</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Test</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Run unit tests and the frozen grouped benchmark</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Deploy</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Verify artifact hashes and dependency compatibility</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Monitor</w:t>
            </w:r>
          </w:p>
        </w:tc>
        <w:tc>
          <w:tcPr>
            <w:tcW w:type="dxa" w:w="7416"/>
            <w:shd w:fill="F6F0E6"/>
            <w:tcMar>
              <w:top w:w="130" w:type="dxa"/>
              <w:start w:w="130" w:type="dxa"/>
              <w:bottom w:w="130" w:type="dxa"/>
              <w:end w:w="130" w:type="dxa"/>
            </w:tcMar>
            <w:vAlign w:val="center"/>
          </w:tcPr>
          <w:p>
            <w:r>
              <w:rPr>
                <w:rFonts w:ascii="Helvetica Neue" w:hAnsi="Helvetica Neue" w:eastAsia="Helvetica Neue"/>
                <w:b w:val="0"/>
                <w:color w:val="14213D"/>
                <w:sz w:val="20"/>
              </w:rPr>
              <w:t>Track failures, latency, drift, and model versus Aggregate Diff F1 disagreement</w:t>
            </w:r>
          </w:p>
        </w:tc>
      </w:tr>
      <w:tr>
        <w:tc>
          <w:tcPr>
            <w:tcW w:type="dxa" w:w="2376"/>
            <w:shd w:fill="14213D"/>
            <w:tcMar>
              <w:top w:w="130" w:type="dxa"/>
              <w:start w:w="130" w:type="dxa"/>
              <w:bottom w:w="130" w:type="dxa"/>
              <w:end w:w="130" w:type="dxa"/>
            </w:tcMar>
            <w:vAlign w:val="center"/>
          </w:tcPr>
          <w:p>
            <w:r>
              <w:rPr>
                <w:rFonts w:ascii="Helvetica Neue" w:hAnsi="Helvetica Neue" w:eastAsia="Helvetica Neue"/>
                <w:b/>
                <w:color w:val="FFFFFF"/>
                <w:sz w:val="20"/>
              </w:rPr>
              <w:t>Improve</w:t>
            </w:r>
          </w:p>
        </w:tc>
        <w:tc>
          <w:tcPr>
            <w:tcW w:type="dxa" w:w="7416"/>
            <w:shd w:fill="FFFDF8"/>
            <w:tcMar>
              <w:top w:w="130" w:type="dxa"/>
              <w:start w:w="130" w:type="dxa"/>
              <w:bottom w:w="130" w:type="dxa"/>
              <w:end w:w="130" w:type="dxa"/>
            </w:tcMar>
            <w:vAlign w:val="center"/>
          </w:tcPr>
          <w:p>
            <w:r>
              <w:rPr>
                <w:rFonts w:ascii="Helvetica Neue" w:hAnsi="Helvetica Neue" w:eastAsia="Helvetica Neue"/>
                <w:b w:val="0"/>
                <w:color w:val="14213D"/>
                <w:sz w:val="20"/>
              </w:rPr>
              <w:t>Review difficult examples, retrain, validate, and require approval</w:t>
            </w:r>
          </w:p>
        </w:tc>
      </w:tr>
    </w:tbl>
    <w:p>
      <w:pPr>
        <w:pStyle w:val="Heading1"/>
        <w:spacing w:before="180" w:after="100"/>
      </w:pPr>
      <w:r>
        <w:rPr>
          <w:rFonts w:ascii="Helvetica Neue" w:hAnsi="Helvetica Neue" w:eastAsia="Helvetica Neue"/>
          <w:b/>
          <w:color w:val="14213D"/>
          <w:sz w:val="36"/>
        </w:rPr>
        <w:t>Known limitations</w:t>
      </w:r>
    </w:p>
    <w:p>
      <w:pPr>
        <w:pStyle w:val="ListBullet"/>
        <w:spacing w:after="60"/>
        <w:ind w:left="360" w:hanging="173"/>
      </w:pPr>
      <w:r>
        <w:rPr>
          <w:rFonts w:ascii="Helvetica Neue" w:hAnsi="Helvetica Neue" w:eastAsia="Helvetica Neue"/>
          <w:b w:val="0"/>
          <w:color w:val="14213D"/>
          <w:sz w:val="20"/>
        </w:rPr>
        <w:t>The current reference percentages are LLM-assisted weak labels.</w:t>
      </w:r>
    </w:p>
    <w:p>
      <w:pPr>
        <w:pStyle w:val="ListBullet"/>
        <w:spacing w:after="60"/>
        <w:ind w:left="360" w:hanging="173"/>
      </w:pPr>
      <w:r>
        <w:rPr>
          <w:rFonts w:ascii="Helvetica Neue" w:hAnsi="Helvetica Neue" w:eastAsia="Helvetica Neue"/>
          <w:b w:val="0"/>
          <w:color w:val="14213D"/>
          <w:sz w:val="20"/>
        </w:rPr>
        <w:t>The percentage-only response has no confidence, interval, or abstention state.</w:t>
      </w:r>
    </w:p>
    <w:p>
      <w:pPr>
        <w:pStyle w:val="ListBullet"/>
        <w:spacing w:after="60"/>
        <w:ind w:left="360" w:hanging="173"/>
      </w:pPr>
      <w:r>
        <w:rPr>
          <w:rFonts w:ascii="Helvetica Neue" w:hAnsi="Helvetica Neue" w:eastAsia="Helvetica Neue"/>
          <w:b w:val="0"/>
          <w:color w:val="14213D"/>
          <w:sz w:val="20"/>
        </w:rPr>
        <w:t>Diff P/R is sensitive to rewrites; recall also shrinks when the final PR contains unrelated work.</w:t>
      </w:r>
    </w:p>
    <w:p>
      <w:pPr>
        <w:pStyle w:val="ListBullet"/>
        <w:spacing w:after="60"/>
        <w:ind w:left="360" w:hanging="173"/>
      </w:pPr>
      <w:r>
        <w:rPr>
          <w:rFonts w:ascii="Helvetica Neue" w:hAnsi="Helvetica Neue" w:eastAsia="Helvetica Neue"/>
          <w:b w:val="0"/>
          <w:color w:val="14213D"/>
          <w:sz w:val="20"/>
        </w:rPr>
        <w:t>The model needs stronger support for deletions, replacements, renames, and multi-file suggestions.</w:t>
      </w:r>
    </w:p>
    <w:p>
      <w:pPr>
        <w:pStyle w:val="Heading1"/>
        <w:spacing w:before="180" w:after="100"/>
      </w:pPr>
      <w:r>
        <w:rPr>
          <w:rFonts w:ascii="Helvetica Neue" w:hAnsi="Helvetica Neue" w:eastAsia="Helvetica Neue"/>
          <w:b/>
          <w:color w:val="14213D"/>
          <w:sz w:val="36"/>
        </w:rPr>
        <w:t>First checks for a new team member</w:t>
      </w:r>
    </w:p>
    <w:p>
      <w:pPr>
        <w:pStyle w:val="ListBullet"/>
        <w:spacing w:after="60"/>
        <w:ind w:left="360" w:hanging="173"/>
      </w:pPr>
      <w:r>
        <w:rPr>
          <w:rFonts w:ascii="Helvetica Neue" w:hAnsi="Helvetica Neue" w:eastAsia="Helvetica Neue"/>
          <w:b w:val="0"/>
          <w:color w:val="14213D"/>
          <w:sz w:val="20"/>
        </w:rPr>
        <w:t>Confirm both draft and final inputs are valid unified diffs.</w:t>
      </w:r>
    </w:p>
    <w:p>
      <w:pPr>
        <w:pStyle w:val="ListBullet"/>
        <w:spacing w:after="60"/>
        <w:ind w:left="360" w:hanging="173"/>
      </w:pPr>
      <w:r>
        <w:rPr>
          <w:rFonts w:ascii="Helvetica Neue" w:hAnsi="Helvetica Neue" w:eastAsia="Helvetica Neue"/>
          <w:b w:val="0"/>
          <w:color w:val="14213D"/>
          <w:sz w:val="20"/>
        </w:rPr>
        <w:t>Use model_percentage as primary, aggregate_diff_f1 as comparable, and the six P/R values for diagnosis.</w:t>
      </w:r>
    </w:p>
    <w:p>
      <w:pPr>
        <w:pStyle w:val="ListBullet"/>
        <w:spacing w:after="60"/>
        <w:ind w:left="360" w:hanging="173"/>
      </w:pPr>
      <w:r>
        <w:rPr>
          <w:rFonts w:ascii="Helvetica Neue" w:hAnsi="Helvetica Neue" w:eastAsia="Helvetica Neue"/>
          <w:b w:val="0"/>
          <w:color w:val="14213D"/>
          <w:sz w:val="20"/>
        </w:rPr>
        <w:t>Check model, metric, and feature versions plus evidence paths before comparing runs.</w:t>
      </w:r>
    </w:p>
    <w:p>
      <w:pPr>
        <w:pStyle w:val="ListBullet"/>
        <w:spacing w:after="60"/>
        <w:ind w:left="360" w:hanging="173"/>
      </w:pPr>
      <w:r>
        <w:rPr>
          <w:rFonts w:ascii="Helvetica Neue" w:hAnsi="Helvetica Neue" w:eastAsia="Helvetica Neue"/>
          <w:b w:val="0"/>
          <w:color w:val="14213D"/>
          <w:sz w:val="20"/>
        </w:rPr>
        <w:t>Run the held-out benchmark before approval, and never describe the percentage as proof of causality or code quality.</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Helvetica Neu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Neue" w:hAnsi="Helvetica Neue" w:eastAsia="Helvetica Neu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Neue" w:hAnsi="Helvetica Neue" w:eastAsia="Helvetica Neu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lvetica Neue" w:hAnsi="Helvetica Neue" w:eastAsia="Helvetica Neue"/>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