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rFonts w:ascii="Helvetica Neue" w:hAnsi="Helvetica Neue"/>
          <w:b/>
          <w:color w:val="14213D"/>
          <w:sz w:val="60"/>
        </w:rPr>
        <w:t>Speaker Notes Percentage Model Versus Exact Baseline</w:t>
      </w:r>
    </w:p>
    <w:p>
      <w:pPr>
        <w:spacing w:after="360"/>
      </w:pPr>
      <w:r>
        <w:rPr>
          <w:rFonts w:ascii="Helvetica Neue" w:hAnsi="Helvetica Neue"/>
          <w:b w:val="0"/>
          <w:color w:val="5E6775"/>
          <w:sz w:val="26"/>
        </w:rPr>
        <w:t>A 12 to 15 minute presentation guide for a non-technical audience</w:t>
      </w:r>
    </w:p>
    <w:tbl>
      <w:tblPr>
        <w:tblW w:type="auto" w:w="0"/>
        <w:jc w:val="center"/>
        <w:tblLayout w:type="fixed"/>
        <w:tblLook w:firstColumn="1" w:firstRow="1" w:lastColumn="0" w:lastRow="0" w:noHBand="0" w:noVBand="1" w:val="04A0"/>
      </w:tblPr>
      <w:tblGrid>
        <w:gridCol w:w="2376"/>
        <w:gridCol w:w="7416"/>
      </w:tblGrid>
      <w:tr>
        <w:tc>
          <w:tcPr>
            <w:tcW w:type="dxa" w:w="5083"/>
            <w:shd w:fill="14213D"/>
            <w:vAlign w:val="center"/>
            <w:tcMar>
              <w:top w:w="105" w:type="dxa"/>
              <w:start w:w="140" w:type="dxa"/>
              <w:bottom w:w="105" w:type="dxa"/>
              <w:end w:w="140" w:type="dxa"/>
            </w:tcMar>
          </w:tcPr>
          <w:p>
            <w:r>
              <w:rPr>
                <w:rFonts w:ascii="Helvetica Neue" w:hAnsi="Helvetica Neue"/>
                <w:b/>
                <w:color w:val="FFFFFF"/>
                <w:sz w:val="20"/>
              </w:rPr>
              <w:t>Decision</w:t>
            </w:r>
          </w:p>
        </w:tc>
        <w:tc>
          <w:tcPr>
            <w:tcW w:type="dxa" w:w="5083"/>
            <w:shd w:fill="FFFDF8"/>
            <w:vAlign w:val="center"/>
            <w:tcMar>
              <w:top w:w="105" w:type="dxa"/>
              <w:start w:w="140" w:type="dxa"/>
              <w:bottom w:w="105" w:type="dxa"/>
              <w:end w:w="140" w:type="dxa"/>
            </w:tcMar>
          </w:tcPr>
          <w:p>
            <w:r>
              <w:rPr>
                <w:rFonts w:ascii="Helvetica Neue" w:hAnsi="Helvetica Neue"/>
                <w:b/>
                <w:color w:val="14213D"/>
                <w:sz w:val="20"/>
              </w:rPr>
              <w:t>Use the percentage model for the primary score. Keep exact matching as a diagnostic.</w:t>
            </w:r>
          </w:p>
        </w:tc>
      </w:tr>
      <w:tr>
        <w:tc>
          <w:tcPr>
            <w:tcW w:type="dxa" w:w="5083"/>
            <w:shd w:fill="14213D"/>
            <w:vAlign w:val="center"/>
            <w:tcMar>
              <w:top w:w="105" w:type="dxa"/>
              <w:start w:w="140" w:type="dxa"/>
              <w:bottom w:w="105" w:type="dxa"/>
              <w:end w:w="140" w:type="dxa"/>
            </w:tcMar>
          </w:tcPr>
          <w:p>
            <w:r>
              <w:rPr>
                <w:rFonts w:ascii="Helvetica Neue" w:hAnsi="Helvetica Neue"/>
                <w:b/>
                <w:color w:val="FFFFFF"/>
                <w:sz w:val="20"/>
              </w:rPr>
              <w:t>Evidence</w:t>
            </w:r>
          </w:p>
        </w:tc>
        <w:tc>
          <w:tcPr>
            <w:tcW w:type="dxa" w:w="5083"/>
            <w:shd w:fill="F6F0E6"/>
            <w:vAlign w:val="center"/>
            <w:tcMar>
              <w:top w:w="105" w:type="dxa"/>
              <w:start w:w="140" w:type="dxa"/>
              <w:bottom w:w="105" w:type="dxa"/>
              <w:end w:w="140" w:type="dxa"/>
            </w:tcMar>
          </w:tcPr>
          <w:p>
            <w:r>
              <w:rPr>
                <w:rFonts w:ascii="Helvetica Neue" w:hAnsi="Helvetica Neue"/>
                <w:b w:val="0"/>
                <w:color w:val="14213D"/>
                <w:sz w:val="20"/>
              </w:rPr>
              <w:t>70 held-out examples from 19 pull requests.</w:t>
            </w:r>
          </w:p>
        </w:tc>
      </w:tr>
      <w:tr>
        <w:tc>
          <w:tcPr>
            <w:tcW w:type="dxa" w:w="5083"/>
            <w:shd w:fill="14213D"/>
            <w:vAlign w:val="center"/>
            <w:tcMar>
              <w:top w:w="105" w:type="dxa"/>
              <w:start w:w="140" w:type="dxa"/>
              <w:bottom w:w="105" w:type="dxa"/>
              <w:end w:w="140" w:type="dxa"/>
            </w:tcMar>
          </w:tcPr>
          <w:p>
            <w:r>
              <w:rPr>
                <w:rFonts w:ascii="Helvetica Neue" w:hAnsi="Helvetica Neue"/>
                <w:b/>
                <w:color w:val="FFFFFF"/>
                <w:sz w:val="20"/>
              </w:rPr>
              <w:t>Result</w:t>
            </w:r>
          </w:p>
        </w:tc>
        <w:tc>
          <w:tcPr>
            <w:tcW w:type="dxa" w:w="5083"/>
            <w:shd w:fill="FFFDF8"/>
            <w:vAlign w:val="center"/>
            <w:tcMar>
              <w:top w:w="105" w:type="dxa"/>
              <w:start w:w="140" w:type="dxa"/>
              <w:bottom w:w="105" w:type="dxa"/>
              <w:end w:w="140" w:type="dxa"/>
            </w:tcMar>
          </w:tcPr>
          <w:p>
            <w:r>
              <w:rPr>
                <w:rFonts w:ascii="Helvetica Neue" w:hAnsi="Helvetica Neue"/>
                <w:b w:val="0"/>
                <w:color w:val="14213D"/>
                <w:sz w:val="20"/>
              </w:rPr>
              <w:t>Average error: 9.74 points for the model versus 40.94 for exact matching.</w:t>
            </w:r>
          </w:p>
        </w:tc>
      </w:tr>
      <w:tr>
        <w:tc>
          <w:tcPr>
            <w:tcW w:type="dxa" w:w="5083"/>
            <w:shd w:fill="14213D"/>
            <w:vAlign w:val="center"/>
            <w:tcMar>
              <w:top w:w="105" w:type="dxa"/>
              <w:start w:w="140" w:type="dxa"/>
              <w:bottom w:w="105" w:type="dxa"/>
              <w:end w:w="140" w:type="dxa"/>
            </w:tcMar>
          </w:tcPr>
          <w:p>
            <w:r>
              <w:rPr>
                <w:rFonts w:ascii="Helvetica Neue" w:hAnsi="Helvetica Neue"/>
                <w:b/>
                <w:color w:val="FFFFFF"/>
                <w:sz w:val="20"/>
              </w:rPr>
              <w:t>Caveat</w:t>
            </w:r>
          </w:p>
        </w:tc>
        <w:tc>
          <w:tcPr>
            <w:tcW w:type="dxa" w:w="5083"/>
            <w:shd w:fill="F6F0E6"/>
            <w:vAlign w:val="center"/>
            <w:tcMar>
              <w:top w:w="105" w:type="dxa"/>
              <w:start w:w="140" w:type="dxa"/>
              <w:bottom w:w="105" w:type="dxa"/>
              <w:end w:w="140" w:type="dxa"/>
            </w:tcMar>
          </w:tcPr>
          <w:p>
            <w:r>
              <w:rPr>
                <w:rFonts w:ascii="Helvetica Neue" w:hAnsi="Helvetica Neue"/>
                <w:b w:val="0"/>
                <w:color w:val="14213D"/>
                <w:sz w:val="20"/>
              </w:rPr>
              <w:t>Reference percentages are LLM-assisted weak labels, not a completed human gold standard.</w:t>
            </w:r>
          </w:p>
        </w:tc>
      </w:tr>
    </w:tbl>
    <w:p/>
    <w:p>
      <w:pPr>
        <w:spacing w:after="140" w:line="269" w:lineRule="auto"/>
      </w:pPr>
      <w:r>
        <w:rPr>
          <w:rFonts w:ascii="Helvetica Neue" w:hAnsi="Helvetica Neue"/>
          <w:b w:val="0"/>
          <w:color w:val="14213D"/>
          <w:sz w:val="21"/>
        </w:rPr>
        <w:t>The comparison uses percentage outputs only. It does not convert results into categories or buckets. The exact baseline is the PIPELINE3-1376 changed-line method. The model is the saved weighted percentage ensemble.</w:t>
      </w:r>
    </w:p>
    <w:p>
      <w:r>
        <w:br w:type="page"/>
      </w:r>
    </w:p>
    <w:p>
      <w:pPr>
        <w:spacing w:before="80" w:after="40"/>
      </w:pPr>
      <w:r>
        <w:rPr>
          <w:rFonts w:ascii="Helvetica Neue" w:hAnsi="Helvetica Neue"/>
          <w:b/>
          <w:color w:val="E76F51"/>
          <w:sz w:val="17"/>
        </w:rPr>
        <w:t>SLIDE 1  |  45 SECONDS</w:t>
      </w:r>
    </w:p>
    <w:p>
      <w:pPr>
        <w:pStyle w:val="Heading1"/>
        <w:spacing w:before="0" w:after="140"/>
      </w:pPr>
      <w:r>
        <w:rPr>
          <w:rFonts w:ascii="Helvetica Neue" w:hAnsi="Helvetica Neue"/>
          <w:b/>
          <w:color w:val="14213D"/>
          <w:sz w:val="36"/>
        </w:rPr>
        <w:t>Which coverage score should we trust</w:t>
      </w:r>
    </w:p>
    <w:p>
      <w:pPr>
        <w:spacing w:before="80" w:after="40"/>
      </w:pPr>
      <w:r>
        <w:rPr>
          <w:rFonts w:ascii="Helvetica Neue" w:hAnsi="Helvetica Neue"/>
          <w:b/>
          <w:color w:val="218B75"/>
          <w:sz w:val="17"/>
        </w:rPr>
        <w:t>SUGGESTED WORDING</w:t>
      </w:r>
    </w:p>
    <w:p>
      <w:pPr>
        <w:spacing w:after="140" w:line="269" w:lineRule="auto"/>
      </w:pPr>
      <w:r>
        <w:rPr>
          <w:rFonts w:ascii="Helvetica Neue" w:hAnsi="Helvetica Neue"/>
          <w:b w:val="0"/>
          <w:color w:val="14213D"/>
          <w:sz w:val="21"/>
        </w:rPr>
        <w:t>Today I am comparing two ways to answer one practical question: how much of a suggested code change appears in the merged pull request?</w:t>
      </w:r>
    </w:p>
    <w:p>
      <w:pPr>
        <w:spacing w:after="140" w:line="269" w:lineRule="auto"/>
      </w:pPr>
      <w:r>
        <w:rPr>
          <w:rFonts w:ascii="Helvetica Neue" w:hAnsi="Helvetica Neue"/>
          <w:b w:val="0"/>
          <w:color w:val="14213D"/>
          <w:sz w:val="21"/>
        </w:rPr>
        <w:t>Both methods return a percentage. The difference is what they recognize as evidence. One method looks for exact changed lines. The other combines many signals and estimates a single number from zero to one hundred.</w:t>
      </w:r>
    </w:p>
    <w:p>
      <w:pPr>
        <w:spacing w:before="80" w:after="40"/>
      </w:pPr>
      <w:r>
        <w:rPr>
          <w:rFonts w:ascii="Helvetica Neue" w:hAnsi="Helvetica Neue"/>
          <w:b/>
          <w:color w:val="E76F51"/>
          <w:sz w:val="17"/>
        </w:rPr>
        <w:t>POINTS TO LAND</w:t>
      </w:r>
    </w:p>
    <w:p>
      <w:pPr>
        <w:pStyle w:val="ListBullet"/>
        <w:spacing w:after="60"/>
        <w:ind w:left="360" w:hanging="173"/>
      </w:pPr>
      <w:r>
        <w:rPr>
          <w:rFonts w:ascii="Helvetica Neue" w:hAnsi="Helvetica Neue"/>
          <w:b w:val="0"/>
          <w:color w:val="14213D"/>
          <w:sz w:val="20"/>
        </w:rPr>
        <w:t>Set the decision question immediately.</w:t>
      </w:r>
    </w:p>
    <w:p>
      <w:pPr>
        <w:pStyle w:val="ListBullet"/>
        <w:spacing w:after="60"/>
        <w:ind w:left="360" w:hanging="173"/>
      </w:pPr>
      <w:r>
        <w:rPr>
          <w:rFonts w:ascii="Helvetica Neue" w:hAnsi="Helvetica Neue"/>
          <w:b w:val="0"/>
          <w:color w:val="14213D"/>
          <w:sz w:val="20"/>
        </w:rPr>
        <w:t>Promise a practical comparison, not a technical lecture.</w:t>
      </w:r>
    </w:p>
    <w:p>
      <w:pPr>
        <w:pStyle w:val="ListBullet"/>
        <w:spacing w:after="60"/>
        <w:ind w:left="360" w:hanging="173"/>
      </w:pPr>
      <w:r>
        <w:rPr>
          <w:rFonts w:ascii="Helvetica Neue" w:hAnsi="Helvetica Neue"/>
          <w:b w:val="0"/>
          <w:color w:val="14213D"/>
          <w:sz w:val="20"/>
        </w:rPr>
        <w:t>Use the terms exact baseline and percentage model consistently.</w:t>
      </w:r>
    </w:p>
    <w:tbl>
      <w:tblPr>
        <w:tblW w:type="auto" w:w="0"/>
        <w:jc w:val="center"/>
        <w:tblLayout w:type="fixed"/>
        <w:tblLook w:firstColumn="1" w:firstRow="1" w:lastColumn="0" w:lastRow="0" w:noHBand="0" w:noVBand="1" w:val="04A0"/>
      </w:tblPr>
      <w:tblGrid>
        <w:gridCol w:w="10166"/>
      </w:tblGrid>
      <w:tr>
        <w:tc>
          <w:tcPr>
            <w:tcW w:type="dxa" w:w="9648"/>
            <w:shd w:fill="DDE8FF"/>
            <w:tcMar>
              <w:top w:w="100" w:type="dxa"/>
              <w:start w:w="160" w:type="dxa"/>
              <w:bottom w:w="100" w:type="dxa"/>
              <w:end w:w="160" w:type="dxa"/>
            </w:tcMar>
          </w:tcPr>
          <w:p>
            <w:r>
              <w:rPr>
                <w:rFonts w:ascii="Helvetica Neue" w:hAnsi="Helvetica Neue"/>
                <w:b/>
                <w:color w:val="2864DC"/>
                <w:sz w:val="19"/>
              </w:rPr>
              <w:t>Transition: Start with the result before explaining how either method works.</w:t>
            </w:r>
          </w:p>
        </w:tc>
      </w:tr>
    </w:tbl>
    <w:p>
      <w:pPr>
        <w:spacing w:after="20"/>
      </w:pPr>
    </w:p>
    <w:p>
      <w:pPr>
        <w:spacing w:before="80" w:after="40"/>
      </w:pPr>
      <w:r>
        <w:rPr>
          <w:rFonts w:ascii="Helvetica Neue" w:hAnsi="Helvetica Neue"/>
          <w:b/>
          <w:color w:val="E76F51"/>
          <w:sz w:val="17"/>
        </w:rPr>
        <w:t>SLIDE 2  |  75 SECONDS</w:t>
      </w:r>
    </w:p>
    <w:p>
      <w:pPr>
        <w:pStyle w:val="Heading1"/>
        <w:spacing w:before="0" w:after="140"/>
      </w:pPr>
      <w:r>
        <w:rPr>
          <w:rFonts w:ascii="Helvetica Neue" w:hAnsi="Helvetica Neue"/>
          <w:b/>
          <w:color w:val="14213D"/>
          <w:sz w:val="36"/>
        </w:rPr>
        <w:t>Use the percentage model for the main score</w:t>
      </w:r>
    </w:p>
    <w:p>
      <w:pPr>
        <w:spacing w:before="80" w:after="40"/>
      </w:pPr>
      <w:r>
        <w:rPr>
          <w:rFonts w:ascii="Helvetica Neue" w:hAnsi="Helvetica Neue"/>
          <w:b/>
          <w:color w:val="218B75"/>
          <w:sz w:val="17"/>
        </w:rPr>
        <w:t>SUGGESTED WORDING</w:t>
      </w:r>
    </w:p>
    <w:p>
      <w:pPr>
        <w:spacing w:after="140" w:line="269" w:lineRule="auto"/>
      </w:pPr>
      <w:r>
        <w:rPr>
          <w:rFonts w:ascii="Helvetica Neue" w:hAnsi="Helvetica Neue"/>
          <w:b w:val="0"/>
          <w:color w:val="14213D"/>
          <w:sz w:val="21"/>
        </w:rPr>
        <w:t>The answer is clear on the held-out test: the percentage model is much closer to the reference percentage.</w:t>
      </w:r>
    </w:p>
    <w:p>
      <w:pPr>
        <w:spacing w:after="140" w:line="269" w:lineRule="auto"/>
      </w:pPr>
      <w:r>
        <w:rPr>
          <w:rFonts w:ascii="Helvetica Neue" w:hAnsi="Helvetica Neue"/>
          <w:b w:val="0"/>
          <w:color w:val="14213D"/>
          <w:sz w:val="21"/>
        </w:rPr>
        <w:t>Its average miss is 9.74 points. The exact baseline misses by 40.94 points. The model is within 10 points in 74.3 percent of cases, compared with 37.1 percent for exact matching.</w:t>
      </w:r>
    </w:p>
    <w:p>
      <w:pPr>
        <w:spacing w:after="140" w:line="269" w:lineRule="auto"/>
      </w:pPr>
      <w:r>
        <w:rPr>
          <w:rFonts w:ascii="Helvetica Neue" w:hAnsi="Helvetica Neue"/>
          <w:b w:val="0"/>
          <w:color w:val="14213D"/>
          <w:sz w:val="21"/>
        </w:rPr>
        <w:t>The most important safety result is the serious-miss rate. Exact matching reaches the opposite end of the scale in 34.3 percent of cases. The model does that in 1.4 percent.</w:t>
      </w:r>
    </w:p>
    <w:p>
      <w:pPr>
        <w:spacing w:before="80" w:after="40"/>
      </w:pPr>
      <w:r>
        <w:rPr>
          <w:rFonts w:ascii="Helvetica Neue" w:hAnsi="Helvetica Neue"/>
          <w:b/>
          <w:color w:val="E76F51"/>
          <w:sz w:val="17"/>
        </w:rPr>
        <w:t>POINTS TO LAND</w:t>
      </w:r>
    </w:p>
    <w:p>
      <w:pPr>
        <w:pStyle w:val="ListBullet"/>
        <w:spacing w:after="60"/>
        <w:ind w:left="360" w:hanging="173"/>
      </w:pPr>
      <w:r>
        <w:rPr>
          <w:rFonts w:ascii="Helvetica Neue" w:hAnsi="Helvetica Neue"/>
          <w:b w:val="0"/>
          <w:color w:val="14213D"/>
          <w:sz w:val="20"/>
        </w:rPr>
        <w:t>Recommend the model as the primary score.</w:t>
      </w:r>
    </w:p>
    <w:p>
      <w:pPr>
        <w:pStyle w:val="ListBullet"/>
        <w:spacing w:after="60"/>
        <w:ind w:left="360" w:hanging="173"/>
      </w:pPr>
      <w:r>
        <w:rPr>
          <w:rFonts w:ascii="Helvetica Neue" w:hAnsi="Helvetica Neue"/>
          <w:b w:val="0"/>
          <w:color w:val="14213D"/>
          <w:sz w:val="20"/>
        </w:rPr>
        <w:t>Keep exact matching as a transparent audit signal.</w:t>
      </w:r>
    </w:p>
    <w:p>
      <w:pPr>
        <w:pStyle w:val="ListBullet"/>
        <w:spacing w:after="60"/>
        <w:ind w:left="360" w:hanging="173"/>
      </w:pPr>
      <w:r>
        <w:rPr>
          <w:rFonts w:ascii="Helvetica Neue" w:hAnsi="Helvetica Neue"/>
          <w:b w:val="0"/>
          <w:color w:val="14213D"/>
          <w:sz w:val="20"/>
        </w:rPr>
        <w:t>Do not say the model is perfect or fully validated.</w:t>
      </w:r>
    </w:p>
    <w:tbl>
      <w:tblPr>
        <w:tblW w:type="auto" w:w="0"/>
        <w:jc w:val="center"/>
        <w:tblLayout w:type="fixed"/>
        <w:tblLook w:firstColumn="1" w:firstRow="1" w:lastColumn="0" w:lastRow="0" w:noHBand="0" w:noVBand="1" w:val="04A0"/>
      </w:tblPr>
      <w:tblGrid>
        <w:gridCol w:w="10166"/>
      </w:tblGrid>
      <w:tr>
        <w:tc>
          <w:tcPr>
            <w:tcW w:type="dxa" w:w="9648"/>
            <w:shd w:fill="DDE8FF"/>
            <w:tcMar>
              <w:top w:w="100" w:type="dxa"/>
              <w:start w:w="160" w:type="dxa"/>
              <w:bottom w:w="100" w:type="dxa"/>
              <w:end w:w="160" w:type="dxa"/>
            </w:tcMar>
          </w:tcPr>
          <w:p>
            <w:r>
              <w:rPr>
                <w:rFonts w:ascii="Helvetica Neue" w:hAnsi="Helvetica Neue"/>
                <w:b/>
                <w:color w:val="2864DC"/>
                <w:sz w:val="19"/>
              </w:rPr>
              <w:t>Transition: Explain why the comparison is fair and what the reference percentages represent.</w:t>
            </w:r>
          </w:p>
        </w:tc>
      </w:tr>
    </w:tbl>
    <w:p>
      <w:pPr>
        <w:spacing w:after="20"/>
      </w:pPr>
    </w:p>
    <w:p>
      <w:r>
        <w:br w:type="page"/>
      </w:r>
    </w:p>
    <w:p>
      <w:pPr>
        <w:spacing w:before="80" w:after="40"/>
      </w:pPr>
      <w:r>
        <w:rPr>
          <w:rFonts w:ascii="Helvetica Neue" w:hAnsi="Helvetica Neue"/>
          <w:b/>
          <w:color w:val="E76F51"/>
          <w:sz w:val="17"/>
        </w:rPr>
        <w:t>SLIDE 3  |  75 SECONDS</w:t>
      </w:r>
    </w:p>
    <w:p>
      <w:pPr>
        <w:pStyle w:val="Heading1"/>
        <w:spacing w:before="0" w:after="140"/>
      </w:pPr>
      <w:r>
        <w:rPr>
          <w:rFonts w:ascii="Helvetica Neue" w:hAnsi="Helvetica Neue"/>
          <w:b/>
          <w:color w:val="14213D"/>
          <w:sz w:val="36"/>
        </w:rPr>
        <w:t>A fair test uses examples the model did not train on</w:t>
      </w:r>
    </w:p>
    <w:p>
      <w:pPr>
        <w:spacing w:before="80" w:after="40"/>
      </w:pPr>
      <w:r>
        <w:rPr>
          <w:rFonts w:ascii="Helvetica Neue" w:hAnsi="Helvetica Neue"/>
          <w:b/>
          <w:color w:val="218B75"/>
          <w:sz w:val="17"/>
        </w:rPr>
        <w:t>SUGGESTED WORDING</w:t>
      </w:r>
    </w:p>
    <w:p>
      <w:pPr>
        <w:spacing w:after="140" w:line="269" w:lineRule="auto"/>
      </w:pPr>
      <w:r>
        <w:rPr>
          <w:rFonts w:ascii="Helvetica Neue" w:hAnsi="Helvetica Neue"/>
          <w:b w:val="0"/>
          <w:color w:val="14213D"/>
          <w:sz w:val="21"/>
        </w:rPr>
        <w:t>The internal dataset contains 279 examples. Seventy were held out for the final comparison. They represent 19 separate pull requests.</w:t>
      </w:r>
    </w:p>
    <w:p>
      <w:pPr>
        <w:spacing w:after="140" w:line="269" w:lineRule="auto"/>
      </w:pPr>
      <w:r>
        <w:rPr>
          <w:rFonts w:ascii="Helvetica Neue" w:hAnsi="Helvetica Neue"/>
          <w:b w:val="0"/>
          <w:color w:val="14213D"/>
          <w:sz w:val="21"/>
        </w:rPr>
        <w:t>Examples from one pull request stay together. That matters because suggestions from the same pull request can share the same merged diff. Keeping them together reduces the risk that the test resembles the training data too closely.</w:t>
      </w:r>
    </w:p>
    <w:p>
      <w:pPr>
        <w:spacing w:after="140" w:line="269" w:lineRule="auto"/>
      </w:pPr>
      <w:r>
        <w:rPr>
          <w:rFonts w:ascii="Helvetica Neue" w:hAnsi="Helvetica Neue"/>
          <w:b w:val="0"/>
          <w:color w:val="14213D"/>
          <w:sz w:val="21"/>
        </w:rPr>
        <w:t>There is one important limitation: the reference percentages are assisted labels. They are useful for comparing methods, but they are not a substitute for independent human annotation.</w:t>
      </w:r>
    </w:p>
    <w:p>
      <w:pPr>
        <w:spacing w:before="80" w:after="40"/>
      </w:pPr>
      <w:r>
        <w:rPr>
          <w:rFonts w:ascii="Helvetica Neue" w:hAnsi="Helvetica Neue"/>
          <w:b/>
          <w:color w:val="E76F51"/>
          <w:sz w:val="17"/>
        </w:rPr>
        <w:t>POINTS TO LAND</w:t>
      </w:r>
    </w:p>
    <w:p>
      <w:pPr>
        <w:pStyle w:val="ListBullet"/>
        <w:spacing w:after="60"/>
        <w:ind w:left="360" w:hanging="173"/>
      </w:pPr>
      <w:r>
        <w:rPr>
          <w:rFonts w:ascii="Helvetica Neue" w:hAnsi="Helvetica Neue"/>
          <w:b w:val="0"/>
          <w:color w:val="14213D"/>
          <w:sz w:val="20"/>
        </w:rPr>
        <w:t>Held out means untouched during model selection.</w:t>
      </w:r>
    </w:p>
    <w:p>
      <w:pPr>
        <w:pStyle w:val="ListBullet"/>
        <w:spacing w:after="60"/>
        <w:ind w:left="360" w:hanging="173"/>
      </w:pPr>
      <w:r>
        <w:rPr>
          <w:rFonts w:ascii="Helvetica Neue" w:hAnsi="Helvetica Neue"/>
          <w:b w:val="0"/>
          <w:color w:val="14213D"/>
          <w:sz w:val="20"/>
        </w:rPr>
        <w:t>Group by pull request to reduce leakage.</w:t>
      </w:r>
    </w:p>
    <w:p>
      <w:pPr>
        <w:pStyle w:val="ListBullet"/>
        <w:spacing w:after="60"/>
        <w:ind w:left="360" w:hanging="173"/>
      </w:pPr>
      <w:r>
        <w:rPr>
          <w:rFonts w:ascii="Helvetica Neue" w:hAnsi="Helvetica Neue"/>
          <w:b w:val="0"/>
          <w:color w:val="14213D"/>
          <w:sz w:val="20"/>
        </w:rPr>
        <w:t>Call the labels reference percentages, not ground truth.</w:t>
      </w:r>
    </w:p>
    <w:tbl>
      <w:tblPr>
        <w:tblW w:type="auto" w:w="0"/>
        <w:jc w:val="center"/>
        <w:tblLayout w:type="fixed"/>
        <w:tblLook w:firstColumn="1" w:firstRow="1" w:lastColumn="0" w:lastRow="0" w:noHBand="0" w:noVBand="1" w:val="04A0"/>
      </w:tblPr>
      <w:tblGrid>
        <w:gridCol w:w="10166"/>
      </w:tblGrid>
      <w:tr>
        <w:tc>
          <w:tcPr>
            <w:tcW w:type="dxa" w:w="9648"/>
            <w:shd w:fill="DDE8FF"/>
            <w:tcMar>
              <w:top w:w="100" w:type="dxa"/>
              <w:start w:w="160" w:type="dxa"/>
              <w:bottom w:w="100" w:type="dxa"/>
              <w:end w:w="160" w:type="dxa"/>
            </w:tcMar>
          </w:tcPr>
          <w:p>
            <w:r>
              <w:rPr>
                <w:rFonts w:ascii="Helvetica Neue" w:hAnsi="Helvetica Neue"/>
                <w:b/>
                <w:color w:val="2864DC"/>
                <w:sz w:val="19"/>
              </w:rPr>
              <w:t>Transition: Now show what the rudimentary method actually counts.</w:t>
            </w:r>
          </w:p>
        </w:tc>
      </w:tr>
    </w:tbl>
    <w:p>
      <w:pPr>
        <w:spacing w:after="20"/>
      </w:pPr>
    </w:p>
    <w:p>
      <w:pPr>
        <w:spacing w:before="80" w:after="40"/>
      </w:pPr>
      <w:r>
        <w:rPr>
          <w:rFonts w:ascii="Helvetica Neue" w:hAnsi="Helvetica Neue"/>
          <w:b/>
          <w:color w:val="E76F51"/>
          <w:sz w:val="17"/>
        </w:rPr>
        <w:t>SLIDE 4  |  90 SECONDS</w:t>
      </w:r>
    </w:p>
    <w:p>
      <w:pPr>
        <w:pStyle w:val="Heading1"/>
        <w:spacing w:before="0" w:after="140"/>
      </w:pPr>
      <w:r>
        <w:rPr>
          <w:rFonts w:ascii="Helvetica Neue" w:hAnsi="Helvetica Neue"/>
          <w:b/>
          <w:color w:val="14213D"/>
          <w:sz w:val="36"/>
        </w:rPr>
        <w:t>Rudimentary exact changed-line recall</w:t>
      </w:r>
    </w:p>
    <w:p>
      <w:pPr>
        <w:spacing w:before="80" w:after="40"/>
      </w:pPr>
      <w:r>
        <w:rPr>
          <w:rFonts w:ascii="Helvetica Neue" w:hAnsi="Helvetica Neue"/>
          <w:b/>
          <w:color w:val="218B75"/>
          <w:sz w:val="17"/>
        </w:rPr>
        <w:t>SUGGESTED WORDING</w:t>
      </w:r>
    </w:p>
    <w:p>
      <w:pPr>
        <w:spacing w:after="140" w:line="269" w:lineRule="auto"/>
      </w:pPr>
      <w:r>
        <w:rPr>
          <w:rFonts w:ascii="Helvetica Neue" w:hAnsi="Helvetica Neue"/>
          <w:b w:val="0"/>
          <w:color w:val="14213D"/>
          <w:sz w:val="21"/>
        </w:rPr>
        <w:t>The PIPELINE3-1376 method turns every changed line into a fingerprint. That fingerprint includes the file path, whether the line was added or removed, and the line text.</w:t>
      </w:r>
    </w:p>
    <w:p>
      <w:pPr>
        <w:spacing w:after="140" w:line="269" w:lineRule="auto"/>
      </w:pPr>
      <w:r>
        <w:rPr>
          <w:rFonts w:ascii="Helvetica Neue" w:hAnsi="Helvetica Neue"/>
          <w:b w:val="0"/>
          <w:color w:val="14213D"/>
          <w:sz w:val="21"/>
        </w:rPr>
        <w:t>It ignores diff metadata and trailing spaces, but it preserves leading indentation. It also counts repeated lines carefully. The percentage is simply the number of matching suggestion-line occurrences divided by all suggestion-line occurrences.</w:t>
      </w:r>
    </w:p>
    <w:p>
      <w:pPr>
        <w:spacing w:after="140" w:line="269" w:lineRule="auto"/>
      </w:pPr>
      <w:r>
        <w:rPr>
          <w:rFonts w:ascii="Helvetica Neue" w:hAnsi="Helvetica Neue"/>
          <w:b w:val="0"/>
          <w:color w:val="14213D"/>
          <w:sz w:val="21"/>
        </w:rPr>
        <w:t>This method is fast and easy to audit. Unrelated changes in the pull request do not reduce the score. Its weakness is strict identity: a harmless rewrite, rename, move, or indentation change can erase the match.</w:t>
      </w:r>
    </w:p>
    <w:p>
      <w:pPr>
        <w:spacing w:before="80" w:after="40"/>
      </w:pPr>
      <w:r>
        <w:rPr>
          <w:rFonts w:ascii="Helvetica Neue" w:hAnsi="Helvetica Neue"/>
          <w:b/>
          <w:color w:val="E76F51"/>
          <w:sz w:val="17"/>
        </w:rPr>
        <w:t>POINTS TO LAND</w:t>
      </w:r>
    </w:p>
    <w:p>
      <w:pPr>
        <w:pStyle w:val="ListBullet"/>
        <w:spacing w:after="60"/>
        <w:ind w:left="360" w:hanging="173"/>
      </w:pPr>
      <w:r>
        <w:rPr>
          <w:rFonts w:ascii="Helvetica Neue" w:hAnsi="Helvetica Neue"/>
          <w:b w:val="0"/>
          <w:color w:val="14213D"/>
          <w:sz w:val="20"/>
        </w:rPr>
        <w:t>Algorithm version: diff-unit-multiset-v2.</w:t>
      </w:r>
    </w:p>
    <w:p>
      <w:pPr>
        <w:pStyle w:val="ListBullet"/>
        <w:spacing w:after="60"/>
        <w:ind w:left="360" w:hanging="173"/>
      </w:pPr>
      <w:r>
        <w:rPr>
          <w:rFonts w:ascii="Helvetica Neue" w:hAnsi="Helvetica Neue"/>
          <w:b w:val="0"/>
          <w:color w:val="14213D"/>
          <w:sz w:val="20"/>
        </w:rPr>
        <w:t>Exact line identity is the main strength and the main limitation.</w:t>
      </w:r>
    </w:p>
    <w:p>
      <w:pPr>
        <w:pStyle w:val="ListBullet"/>
        <w:spacing w:after="60"/>
        <w:ind w:left="360" w:hanging="173"/>
      </w:pPr>
      <w:r>
        <w:rPr>
          <w:rFonts w:ascii="Helvetica Neue" w:hAnsi="Helvetica Neue"/>
          <w:b w:val="0"/>
          <w:color w:val="14213D"/>
          <w:sz w:val="20"/>
        </w:rPr>
        <w:t>The score measures literal adoption, not semantic equivalence.</w:t>
      </w:r>
    </w:p>
    <w:tbl>
      <w:tblPr>
        <w:tblW w:type="auto" w:w="0"/>
        <w:jc w:val="center"/>
        <w:tblLayout w:type="fixed"/>
        <w:tblLook w:firstColumn="1" w:firstRow="1" w:lastColumn="0" w:lastRow="0" w:noHBand="0" w:noVBand="1" w:val="04A0"/>
      </w:tblPr>
      <w:tblGrid>
        <w:gridCol w:w="10166"/>
      </w:tblGrid>
      <w:tr>
        <w:tc>
          <w:tcPr>
            <w:tcW w:type="dxa" w:w="9648"/>
            <w:shd w:fill="DDE8FF"/>
            <w:tcMar>
              <w:top w:w="100" w:type="dxa"/>
              <w:start w:w="160" w:type="dxa"/>
              <w:bottom w:w="100" w:type="dxa"/>
              <w:end w:w="160" w:type="dxa"/>
            </w:tcMar>
          </w:tcPr>
          <w:p>
            <w:r>
              <w:rPr>
                <w:rFonts w:ascii="Helvetica Neue" w:hAnsi="Helvetica Neue"/>
                <w:b/>
                <w:color w:val="2864DC"/>
                <w:sz w:val="19"/>
              </w:rPr>
              <w:t>Transition: Contrast the fingerprint with the model's broader evidence.</w:t>
            </w:r>
          </w:p>
        </w:tc>
      </w:tr>
    </w:tbl>
    <w:p>
      <w:pPr>
        <w:spacing w:after="20"/>
      </w:pPr>
    </w:p>
    <w:p>
      <w:r>
        <w:br w:type="page"/>
      </w:r>
    </w:p>
    <w:p>
      <w:pPr>
        <w:spacing w:before="80" w:after="40"/>
      </w:pPr>
      <w:r>
        <w:rPr>
          <w:rFonts w:ascii="Helvetica Neue" w:hAnsi="Helvetica Neue"/>
          <w:b/>
          <w:color w:val="E76F51"/>
          <w:sz w:val="17"/>
        </w:rPr>
        <w:t>SLIDE 5  |  100 SECONDS</w:t>
      </w:r>
    </w:p>
    <w:p>
      <w:pPr>
        <w:pStyle w:val="Heading1"/>
        <w:spacing w:before="0" w:after="140"/>
      </w:pPr>
      <w:r>
        <w:rPr>
          <w:rFonts w:ascii="Helvetica Neue" w:hAnsi="Helvetica Neue"/>
          <w:b/>
          <w:color w:val="14213D"/>
          <w:sz w:val="36"/>
        </w:rPr>
        <w:t>The model combines many weak clues into one percentage</w:t>
      </w:r>
    </w:p>
    <w:p>
      <w:pPr>
        <w:spacing w:before="80" w:after="40"/>
      </w:pPr>
      <w:r>
        <w:rPr>
          <w:rFonts w:ascii="Helvetica Neue" w:hAnsi="Helvetica Neue"/>
          <w:b/>
          <w:color w:val="218B75"/>
          <w:sz w:val="17"/>
        </w:rPr>
        <w:t>SUGGESTED WORDING</w:t>
      </w:r>
    </w:p>
    <w:p>
      <w:pPr>
        <w:spacing w:after="140" w:line="269" w:lineRule="auto"/>
      </w:pPr>
      <w:r>
        <w:rPr>
          <w:rFonts w:ascii="Helvetica Neue" w:hAnsi="Helvetica Neue"/>
          <w:b w:val="0"/>
          <w:color w:val="14213D"/>
          <w:sz w:val="21"/>
        </w:rPr>
        <w:t>The model starts with the same two diffs, but it extracts a wider set of signals. It looks at line and token overlap, names and literals, the best matching hunk, file overlap, and available structural information.</w:t>
      </w:r>
    </w:p>
    <w:p>
      <w:pPr>
        <w:spacing w:after="140" w:line="269" w:lineRule="auto"/>
      </w:pPr>
      <w:r>
        <w:rPr>
          <w:rFonts w:ascii="Helvetica Neue" w:hAnsi="Helvetica Neue"/>
          <w:b w:val="0"/>
          <w:color w:val="14213D"/>
          <w:sz w:val="21"/>
        </w:rPr>
        <w:t>The saved artifact is a weighted ensemble. Half of the result comes from the random-forest baseline, 30 percent from a two-stage model, and 20 percent from a CatBoost model trained for absolute error.</w:t>
      </w:r>
    </w:p>
    <w:p>
      <w:pPr>
        <w:spacing w:after="140" w:line="269" w:lineRule="auto"/>
      </w:pPr>
      <w:r>
        <w:rPr>
          <w:rFonts w:ascii="Helvetica Neue" w:hAnsi="Helvetica Neue"/>
          <w:b w:val="0"/>
          <w:color w:val="14213D"/>
          <w:sz w:val="21"/>
        </w:rPr>
        <w:t>The public response is intentionally simple: one rounded integer percentage. That is convenient for dashboards and APIs. It also hides confidence, the range of plausible values, and whether the input is unlike the training data.</w:t>
      </w:r>
    </w:p>
    <w:p>
      <w:pPr>
        <w:spacing w:before="80" w:after="40"/>
      </w:pPr>
      <w:r>
        <w:rPr>
          <w:rFonts w:ascii="Helvetica Neue" w:hAnsi="Helvetica Neue"/>
          <w:b/>
          <w:color w:val="E76F51"/>
          <w:sz w:val="17"/>
        </w:rPr>
        <w:t>POINTS TO LAND</w:t>
      </w:r>
    </w:p>
    <w:p>
      <w:pPr>
        <w:pStyle w:val="ListBullet"/>
        <w:spacing w:after="60"/>
        <w:ind w:left="360" w:hanging="173"/>
      </w:pPr>
      <w:r>
        <w:rPr>
          <w:rFonts w:ascii="Helvetica Neue" w:hAnsi="Helvetica Neue"/>
          <w:b w:val="0"/>
          <w:color w:val="14213D"/>
          <w:sz w:val="20"/>
        </w:rPr>
        <w:t>Input is richer; output remains one integer.</w:t>
      </w:r>
    </w:p>
    <w:p>
      <w:pPr>
        <w:pStyle w:val="ListBullet"/>
        <w:spacing w:after="60"/>
        <w:ind w:left="360" w:hanging="173"/>
      </w:pPr>
      <w:r>
        <w:rPr>
          <w:rFonts w:ascii="Helvetica Neue" w:hAnsi="Helvetica Neue"/>
          <w:b w:val="0"/>
          <w:color w:val="14213D"/>
          <w:sz w:val="20"/>
        </w:rPr>
        <w:t>The saved model is a weighted ensemble, not one rule.</w:t>
      </w:r>
    </w:p>
    <w:p>
      <w:pPr>
        <w:pStyle w:val="ListBullet"/>
        <w:spacing w:after="60"/>
        <w:ind w:left="360" w:hanging="173"/>
      </w:pPr>
      <w:r>
        <w:rPr>
          <w:rFonts w:ascii="Helvetica Neue" w:hAnsi="Helvetica Neue"/>
          <w:b w:val="0"/>
          <w:color w:val="14213D"/>
          <w:sz w:val="20"/>
        </w:rPr>
        <w:t>A percentage-only interface can look more certain than the system really is.</w:t>
      </w:r>
    </w:p>
    <w:tbl>
      <w:tblPr>
        <w:tblW w:type="auto" w:w="0"/>
        <w:jc w:val="center"/>
        <w:tblLayout w:type="fixed"/>
        <w:tblLook w:firstColumn="1" w:firstRow="1" w:lastColumn="0" w:lastRow="0" w:noHBand="0" w:noVBand="1" w:val="04A0"/>
      </w:tblPr>
      <w:tblGrid>
        <w:gridCol w:w="10166"/>
      </w:tblGrid>
      <w:tr>
        <w:tc>
          <w:tcPr>
            <w:tcW w:type="dxa" w:w="9648"/>
            <w:shd w:fill="DDE8FF"/>
            <w:tcMar>
              <w:top w:w="100" w:type="dxa"/>
              <w:start w:w="160" w:type="dxa"/>
              <w:bottom w:w="100" w:type="dxa"/>
              <w:end w:w="160" w:type="dxa"/>
            </w:tcMar>
          </w:tcPr>
          <w:p>
            <w:r>
              <w:rPr>
                <w:rFonts w:ascii="Helvetica Neue" w:hAnsi="Helvetica Neue"/>
                <w:b/>
                <w:color w:val="2864DC"/>
                <w:sz w:val="19"/>
              </w:rPr>
              <w:t>Transition: Return to the held-out results and explain each number in plain language.</w:t>
            </w:r>
          </w:p>
        </w:tc>
      </w:tr>
    </w:tbl>
    <w:p>
      <w:pPr>
        <w:spacing w:after="20"/>
      </w:pPr>
    </w:p>
    <w:p>
      <w:pPr>
        <w:spacing w:before="80" w:after="40"/>
      </w:pPr>
      <w:r>
        <w:rPr>
          <w:rFonts w:ascii="Helvetica Neue" w:hAnsi="Helvetica Neue"/>
          <w:b/>
          <w:color w:val="E76F51"/>
          <w:sz w:val="17"/>
        </w:rPr>
        <w:t>SLIDE 6  |  100 SECONDS</w:t>
      </w:r>
    </w:p>
    <w:p>
      <w:pPr>
        <w:pStyle w:val="Heading1"/>
        <w:spacing w:before="0" w:after="140"/>
      </w:pPr>
      <w:r>
        <w:rPr>
          <w:rFonts w:ascii="Helvetica Neue" w:hAnsi="Helvetica Neue"/>
          <w:b/>
          <w:color w:val="14213D"/>
          <w:sz w:val="36"/>
        </w:rPr>
        <w:t>The percentage model is closer and safer</w:t>
      </w:r>
    </w:p>
    <w:p>
      <w:pPr>
        <w:spacing w:before="80" w:after="40"/>
      </w:pPr>
      <w:r>
        <w:rPr>
          <w:rFonts w:ascii="Helvetica Neue" w:hAnsi="Helvetica Neue"/>
          <w:b/>
          <w:color w:val="218B75"/>
          <w:sz w:val="17"/>
        </w:rPr>
        <w:t>SUGGESTED WORDING</w:t>
      </w:r>
    </w:p>
    <w:p>
      <w:pPr>
        <w:spacing w:after="140" w:line="269" w:lineRule="auto"/>
      </w:pPr>
      <w:r>
        <w:rPr>
          <w:rFonts w:ascii="Helvetica Neue" w:hAnsi="Helvetica Neue"/>
          <w:b w:val="0"/>
          <w:color w:val="14213D"/>
          <w:sz w:val="21"/>
        </w:rPr>
        <w:t>Average absolute error means the average distance from the reference percentage. Lower is better. The model misses by 9.74 points. Exact matching misses by 40.94.</w:t>
      </w:r>
    </w:p>
    <w:p>
      <w:pPr>
        <w:spacing w:after="140" w:line="269" w:lineRule="auto"/>
      </w:pPr>
      <w:r>
        <w:rPr>
          <w:rFonts w:ascii="Helvetica Neue" w:hAnsi="Helvetica Neue"/>
          <w:b w:val="0"/>
          <w:color w:val="14213D"/>
          <w:sz w:val="21"/>
        </w:rPr>
        <w:t>Within 10 points is a more intuitive accuracy check. The model reaches that range in 74.3 percent of examples. Exact matching reaches it in 37.1 percent.</w:t>
      </w:r>
    </w:p>
    <w:p>
      <w:pPr>
        <w:spacing w:after="140" w:line="269" w:lineRule="auto"/>
      </w:pPr>
      <w:r>
        <w:rPr>
          <w:rFonts w:ascii="Helvetica Neue" w:hAnsi="Helvetica Neue"/>
          <w:b w:val="0"/>
          <w:color w:val="14213D"/>
          <w:sz w:val="21"/>
        </w:rPr>
        <w:t>The serious-miss metric captures opposite-end failures: one score is at least 80 while the reference is at most 20, or the reverse. The rate falls from 34.3 percent with exact matching to 1.4 percent with the model.</w:t>
      </w:r>
    </w:p>
    <w:p>
      <w:pPr>
        <w:spacing w:before="80" w:after="40"/>
      </w:pPr>
      <w:r>
        <w:rPr>
          <w:rFonts w:ascii="Helvetica Neue" w:hAnsi="Helvetica Neue"/>
          <w:b/>
          <w:color w:val="E76F51"/>
          <w:sz w:val="17"/>
        </w:rPr>
        <w:t>POINTS TO LAND</w:t>
      </w:r>
    </w:p>
    <w:p>
      <w:pPr>
        <w:pStyle w:val="ListBullet"/>
        <w:spacing w:after="60"/>
        <w:ind w:left="360" w:hanging="173"/>
      </w:pPr>
      <w:r>
        <w:rPr>
          <w:rFonts w:ascii="Helvetica Neue" w:hAnsi="Helvetica Neue"/>
          <w:b w:val="0"/>
          <w:color w:val="14213D"/>
          <w:sz w:val="20"/>
        </w:rPr>
        <w:t>Lower error is better; higher within-10 is better.</w:t>
      </w:r>
    </w:p>
    <w:p>
      <w:pPr>
        <w:pStyle w:val="ListBullet"/>
        <w:spacing w:after="60"/>
        <w:ind w:left="360" w:hanging="173"/>
      </w:pPr>
      <w:r>
        <w:rPr>
          <w:rFonts w:ascii="Helvetica Neue" w:hAnsi="Helvetica Neue"/>
          <w:b w:val="0"/>
          <w:color w:val="14213D"/>
          <w:sz w:val="20"/>
        </w:rPr>
        <w:t>The model improves both closeness and severe-error control.</w:t>
      </w:r>
    </w:p>
    <w:p>
      <w:pPr>
        <w:pStyle w:val="ListBullet"/>
        <w:spacing w:after="60"/>
        <w:ind w:left="360" w:hanging="173"/>
      </w:pPr>
      <w:r>
        <w:rPr>
          <w:rFonts w:ascii="Helvetica Neue" w:hAnsi="Helvetica Neue"/>
          <w:b w:val="0"/>
          <w:color w:val="14213D"/>
          <w:sz w:val="20"/>
        </w:rPr>
        <w:t>All comparisons use raw percentages, not categories.</w:t>
      </w:r>
    </w:p>
    <w:tbl>
      <w:tblPr>
        <w:tblW w:type="auto" w:w="0"/>
        <w:jc w:val="center"/>
        <w:tblLayout w:type="fixed"/>
        <w:tblLook w:firstColumn="1" w:firstRow="1" w:lastColumn="0" w:lastRow="0" w:noHBand="0" w:noVBand="1" w:val="04A0"/>
      </w:tblPr>
      <w:tblGrid>
        <w:gridCol w:w="10166"/>
      </w:tblGrid>
      <w:tr>
        <w:tc>
          <w:tcPr>
            <w:tcW w:type="dxa" w:w="9648"/>
            <w:shd w:fill="DDE8FF"/>
            <w:tcMar>
              <w:top w:w="100" w:type="dxa"/>
              <w:start w:w="160" w:type="dxa"/>
              <w:bottom w:w="100" w:type="dxa"/>
              <w:end w:w="160" w:type="dxa"/>
            </w:tcMar>
          </w:tcPr>
          <w:p>
            <w:r>
              <w:rPr>
                <w:rFonts w:ascii="Helvetica Neue" w:hAnsi="Helvetica Neue"/>
                <w:b/>
                <w:color w:val="2864DC"/>
                <w:sz w:val="19"/>
              </w:rPr>
              <w:t>Transition: Use a concrete public example to show why exact matching fails.</w:t>
            </w:r>
          </w:p>
        </w:tc>
      </w:tr>
    </w:tbl>
    <w:p>
      <w:pPr>
        <w:spacing w:after="20"/>
      </w:pPr>
    </w:p>
    <w:p>
      <w:r>
        <w:br w:type="page"/>
      </w:r>
    </w:p>
    <w:p>
      <w:pPr>
        <w:spacing w:before="80" w:after="40"/>
      </w:pPr>
      <w:r>
        <w:rPr>
          <w:rFonts w:ascii="Helvetica Neue" w:hAnsi="Helvetica Neue"/>
          <w:b/>
          <w:color w:val="E76F51"/>
          <w:sz w:val="17"/>
        </w:rPr>
        <w:t>SLIDE 7  |  75 SECONDS</w:t>
      </w:r>
    </w:p>
    <w:p>
      <w:pPr>
        <w:pStyle w:val="Heading1"/>
        <w:spacing w:before="0" w:after="140"/>
      </w:pPr>
      <w:r>
        <w:rPr>
          <w:rFonts w:ascii="Helvetica Neue" w:hAnsi="Helvetica Neue"/>
          <w:b/>
          <w:color w:val="14213D"/>
          <w:sz w:val="36"/>
        </w:rPr>
        <w:t>Same code, different indentation</w:t>
      </w:r>
    </w:p>
    <w:p>
      <w:pPr>
        <w:spacing w:before="80" w:after="40"/>
      </w:pPr>
      <w:r>
        <w:rPr>
          <w:rFonts w:ascii="Helvetica Neue" w:hAnsi="Helvetica Neue"/>
          <w:b/>
          <w:color w:val="218B75"/>
          <w:sz w:val="17"/>
        </w:rPr>
        <w:t>SUGGESTED WORDING</w:t>
      </w:r>
    </w:p>
    <w:p>
      <w:pPr>
        <w:spacing w:after="140" w:line="269" w:lineRule="auto"/>
      </w:pPr>
      <w:r>
        <w:rPr>
          <w:rFonts w:ascii="Helvetica Neue" w:hAnsi="Helvetica Neue"/>
          <w:b w:val="0"/>
          <w:color w:val="14213D"/>
          <w:sz w:val="21"/>
        </w:rPr>
        <w:t>This public Ladybird Browser example makes the difference visible. The suggestion and the merged pull request both add the same assignment.</w:t>
      </w:r>
    </w:p>
    <w:p>
      <w:pPr>
        <w:spacing w:after="140" w:line="269" w:lineRule="auto"/>
      </w:pPr>
      <w:r>
        <w:rPr>
          <w:rFonts w:ascii="Helvetica Neue" w:hAnsi="Helvetica Neue"/>
          <w:b w:val="0"/>
          <w:color w:val="14213D"/>
          <w:sz w:val="21"/>
        </w:rPr>
        <w:t>The merged line includes the indentation from its surrounding block. Because the exact fingerprint preserves leading spaces, it returns zero percent. The percentage model returns 100 percent, matching the reference percentage.</w:t>
      </w:r>
    </w:p>
    <w:p>
      <w:pPr>
        <w:spacing w:after="140" w:line="269" w:lineRule="auto"/>
      </w:pPr>
      <w:r>
        <w:rPr>
          <w:rFonts w:ascii="Helvetica Neue" w:hAnsi="Helvetica Neue"/>
          <w:b w:val="0"/>
          <w:color w:val="14213D"/>
          <w:sz w:val="21"/>
        </w:rPr>
        <w:t>This is the core trade-off. Exact matching can prove literal identity, but it cannot reliably recognize the same implementation after normal editing.</w:t>
      </w:r>
    </w:p>
    <w:p>
      <w:pPr>
        <w:spacing w:before="80" w:after="40"/>
      </w:pPr>
      <w:r>
        <w:rPr>
          <w:rFonts w:ascii="Helvetica Neue" w:hAnsi="Helvetica Neue"/>
          <w:b/>
          <w:color w:val="E76F51"/>
          <w:sz w:val="17"/>
        </w:rPr>
        <w:t>POINTS TO LAND</w:t>
      </w:r>
    </w:p>
    <w:p>
      <w:pPr>
        <w:pStyle w:val="ListBullet"/>
        <w:spacing w:after="60"/>
        <w:ind w:left="360" w:hanging="173"/>
      </w:pPr>
      <w:r>
        <w:rPr>
          <w:rFonts w:ascii="Helvetica Neue" w:hAnsi="Helvetica Neue"/>
          <w:b w:val="0"/>
          <w:color w:val="14213D"/>
          <w:sz w:val="20"/>
        </w:rPr>
        <w:t>Public example: Ladybird Browser pull request 6220.</w:t>
      </w:r>
    </w:p>
    <w:p>
      <w:pPr>
        <w:pStyle w:val="ListBullet"/>
        <w:spacing w:after="60"/>
        <w:ind w:left="360" w:hanging="173"/>
      </w:pPr>
      <w:r>
        <w:rPr>
          <w:rFonts w:ascii="Helvetica Neue" w:hAnsi="Helvetica Neue"/>
          <w:b w:val="0"/>
          <w:color w:val="14213D"/>
          <w:sz w:val="20"/>
        </w:rPr>
        <w:t>Exact baseline: 0 percent.</w:t>
      </w:r>
    </w:p>
    <w:p>
      <w:pPr>
        <w:pStyle w:val="ListBullet"/>
        <w:spacing w:after="60"/>
        <w:ind w:left="360" w:hanging="173"/>
      </w:pPr>
      <w:r>
        <w:rPr>
          <w:rFonts w:ascii="Helvetica Neue" w:hAnsi="Helvetica Neue"/>
          <w:b w:val="0"/>
          <w:color w:val="14213D"/>
          <w:sz w:val="20"/>
        </w:rPr>
        <w:t>Percentage model and reference: 100 percent.</w:t>
      </w:r>
    </w:p>
    <w:tbl>
      <w:tblPr>
        <w:tblW w:type="auto" w:w="0"/>
        <w:jc w:val="center"/>
        <w:tblLayout w:type="fixed"/>
        <w:tblLook w:firstColumn="1" w:firstRow="1" w:lastColumn="0" w:lastRow="0" w:noHBand="0" w:noVBand="1" w:val="04A0"/>
      </w:tblPr>
      <w:tblGrid>
        <w:gridCol w:w="10166"/>
      </w:tblGrid>
      <w:tr>
        <w:tc>
          <w:tcPr>
            <w:tcW w:type="dxa" w:w="9648"/>
            <w:shd w:fill="DDE8FF"/>
            <w:tcMar>
              <w:top w:w="100" w:type="dxa"/>
              <w:start w:w="160" w:type="dxa"/>
              <w:bottom w:w="100" w:type="dxa"/>
              <w:end w:w="160" w:type="dxa"/>
            </w:tcMar>
          </w:tcPr>
          <w:p>
            <w:r>
              <w:rPr>
                <w:rFonts w:ascii="Helvetica Neue" w:hAnsi="Helvetica Neue"/>
                <w:b/>
                <w:color w:val="2864DC"/>
                <w:sz w:val="19"/>
              </w:rPr>
              <w:t>Transition: Acknowledge that the broader model solves some problems and creates others.</w:t>
            </w:r>
          </w:p>
        </w:tc>
      </w:tr>
    </w:tbl>
    <w:p>
      <w:pPr>
        <w:spacing w:after="20"/>
      </w:pPr>
    </w:p>
    <w:p>
      <w:pPr>
        <w:spacing w:before="80" w:after="40"/>
      </w:pPr>
      <w:r>
        <w:rPr>
          <w:rFonts w:ascii="Helvetica Neue" w:hAnsi="Helvetica Neue"/>
          <w:b/>
          <w:color w:val="E76F51"/>
          <w:sz w:val="17"/>
        </w:rPr>
        <w:t>SLIDE 8  |  90 SECONDS</w:t>
      </w:r>
    </w:p>
    <w:p>
      <w:pPr>
        <w:pStyle w:val="Heading1"/>
        <w:spacing w:before="0" w:after="140"/>
      </w:pPr>
      <w:r>
        <w:rPr>
          <w:rFonts w:ascii="Helvetica Neue" w:hAnsi="Helvetica Neue"/>
          <w:b/>
          <w:color w:val="14213D"/>
          <w:sz w:val="36"/>
        </w:rPr>
        <w:t>Each method fails differently</w:t>
      </w:r>
    </w:p>
    <w:p>
      <w:pPr>
        <w:spacing w:before="80" w:after="40"/>
      </w:pPr>
      <w:r>
        <w:rPr>
          <w:rFonts w:ascii="Helvetica Neue" w:hAnsi="Helvetica Neue"/>
          <w:b/>
          <w:color w:val="218B75"/>
          <w:sz w:val="17"/>
        </w:rPr>
        <w:t>SUGGESTED WORDING</w:t>
      </w:r>
    </w:p>
    <w:p>
      <w:pPr>
        <w:spacing w:after="140" w:line="269" w:lineRule="auto"/>
      </w:pPr>
      <w:r>
        <w:rPr>
          <w:rFonts w:ascii="Helvetica Neue" w:hAnsi="Helvetica Neue"/>
          <w:b w:val="0"/>
          <w:color w:val="14213D"/>
          <w:sz w:val="21"/>
        </w:rPr>
        <w:t>The exact baseline is transparent, stable, and cheap. It struggles with formatting, renames, moved code, and rewrites. Its strictness creates many false zeros.</w:t>
      </w:r>
    </w:p>
    <w:p>
      <w:pPr>
        <w:spacing w:after="140" w:line="269" w:lineRule="auto"/>
      </w:pPr>
      <w:r>
        <w:rPr>
          <w:rFonts w:ascii="Helvetica Neue" w:hAnsi="Helvetica Neue"/>
          <w:b w:val="0"/>
          <w:color w:val="14213D"/>
          <w:sz w:val="21"/>
        </w:rPr>
        <w:t>The percentage model handles those normal edits better. In exchange, it needs more compute, more dependencies, versioned features, and a trusted model artifact. It is harder to explain one prediction, and its behavior can drift as code patterns change.</w:t>
      </w:r>
    </w:p>
    <w:p>
      <w:pPr>
        <w:spacing w:after="140" w:line="269" w:lineRule="auto"/>
      </w:pPr>
      <w:r>
        <w:rPr>
          <w:rFonts w:ascii="Helvetica Neue" w:hAnsi="Helvetica Neue"/>
          <w:b w:val="0"/>
          <w:color w:val="14213D"/>
          <w:sz w:val="21"/>
        </w:rPr>
        <w:t>The output contract is also a risk. A single percentage gives downstream consumers no warning when the model is uncertain or when the input is unsupported.</w:t>
      </w:r>
    </w:p>
    <w:p>
      <w:pPr>
        <w:spacing w:before="80" w:after="40"/>
      </w:pPr>
      <w:r>
        <w:rPr>
          <w:rFonts w:ascii="Helvetica Neue" w:hAnsi="Helvetica Neue"/>
          <w:b/>
          <w:color w:val="E76F51"/>
          <w:sz w:val="17"/>
        </w:rPr>
        <w:t>POINTS TO LAND</w:t>
      </w:r>
    </w:p>
    <w:p>
      <w:pPr>
        <w:pStyle w:val="ListBullet"/>
        <w:spacing w:after="60"/>
        <w:ind w:left="360" w:hanging="173"/>
      </w:pPr>
      <w:r>
        <w:rPr>
          <w:rFonts w:ascii="Helvetica Neue" w:hAnsi="Helvetica Neue"/>
          <w:b w:val="0"/>
          <w:color w:val="14213D"/>
          <w:sz w:val="20"/>
        </w:rPr>
        <w:t>Exact is brittle but explainable.</w:t>
      </w:r>
    </w:p>
    <w:p>
      <w:pPr>
        <w:pStyle w:val="ListBullet"/>
        <w:spacing w:after="60"/>
        <w:ind w:left="360" w:hanging="173"/>
      </w:pPr>
      <w:r>
        <w:rPr>
          <w:rFonts w:ascii="Helvetica Neue" w:hAnsi="Helvetica Neue"/>
          <w:b w:val="0"/>
          <w:color w:val="14213D"/>
          <w:sz w:val="20"/>
        </w:rPr>
        <w:t>The model is useful but operationally heavier.</w:t>
      </w:r>
    </w:p>
    <w:p>
      <w:pPr>
        <w:pStyle w:val="ListBullet"/>
        <w:spacing w:after="60"/>
        <w:ind w:left="360" w:hanging="173"/>
      </w:pPr>
      <w:r>
        <w:rPr>
          <w:rFonts w:ascii="Helvetica Neue" w:hAnsi="Helvetica Neue"/>
          <w:b w:val="0"/>
          <w:color w:val="14213D"/>
          <w:sz w:val="20"/>
        </w:rPr>
        <w:t>The percentage-only response needs confidence or abstention.</w:t>
      </w:r>
    </w:p>
    <w:tbl>
      <w:tblPr>
        <w:tblW w:type="auto" w:w="0"/>
        <w:jc w:val="center"/>
        <w:tblLayout w:type="fixed"/>
        <w:tblLook w:firstColumn="1" w:firstRow="1" w:lastColumn="0" w:lastRow="0" w:noHBand="0" w:noVBand="1" w:val="04A0"/>
      </w:tblPr>
      <w:tblGrid>
        <w:gridCol w:w="10166"/>
      </w:tblGrid>
      <w:tr>
        <w:tc>
          <w:tcPr>
            <w:tcW w:type="dxa" w:w="9648"/>
            <w:shd w:fill="DDE8FF"/>
            <w:tcMar>
              <w:top w:w="100" w:type="dxa"/>
              <w:start w:w="160" w:type="dxa"/>
              <w:bottom w:w="100" w:type="dxa"/>
              <w:end w:w="160" w:type="dxa"/>
            </w:tcMar>
          </w:tcPr>
          <w:p>
            <w:r>
              <w:rPr>
                <w:rFonts w:ascii="Helvetica Neue" w:hAnsi="Helvetica Neue"/>
                <w:b/>
                <w:color w:val="2864DC"/>
                <w:sz w:val="19"/>
              </w:rPr>
              <w:t>Transition: Move from algorithm trade-offs to the support lifecycle.</w:t>
            </w:r>
          </w:p>
        </w:tc>
      </w:tr>
    </w:tbl>
    <w:p>
      <w:pPr>
        <w:spacing w:after="20"/>
      </w:pPr>
    </w:p>
    <w:p>
      <w:r>
        <w:br w:type="page"/>
      </w:r>
    </w:p>
    <w:p>
      <w:pPr>
        <w:spacing w:before="80" w:after="40"/>
      </w:pPr>
      <w:r>
        <w:rPr>
          <w:rFonts w:ascii="Helvetica Neue" w:hAnsi="Helvetica Neue"/>
          <w:b/>
          <w:color w:val="E76F51"/>
          <w:sz w:val="17"/>
        </w:rPr>
        <w:t>SLIDE 9  |  110 SECONDS</w:t>
      </w:r>
    </w:p>
    <w:p>
      <w:pPr>
        <w:pStyle w:val="Heading1"/>
        <w:spacing w:before="0" w:after="140"/>
      </w:pPr>
      <w:r>
        <w:rPr>
          <w:rFonts w:ascii="Helvetica Neue" w:hAnsi="Helvetica Neue"/>
          <w:b/>
          <w:color w:val="14213D"/>
          <w:sz w:val="36"/>
        </w:rPr>
        <w:t>The model needs active ownership after launch</w:t>
      </w:r>
    </w:p>
    <w:p>
      <w:pPr>
        <w:spacing w:before="80" w:after="40"/>
      </w:pPr>
      <w:r>
        <w:rPr>
          <w:rFonts w:ascii="Helvetica Neue" w:hAnsi="Helvetica Neue"/>
          <w:b/>
          <w:color w:val="218B75"/>
          <w:sz w:val="17"/>
        </w:rPr>
        <w:t>SUGGESTED WORDING</w:t>
      </w:r>
    </w:p>
    <w:p>
      <w:pPr>
        <w:spacing w:after="140" w:line="269" w:lineRule="auto"/>
      </w:pPr>
      <w:r>
        <w:rPr>
          <w:rFonts w:ascii="Helvetica Neue" w:hAnsi="Helvetica Neue"/>
          <w:b w:val="0"/>
          <w:color w:val="14213D"/>
          <w:sz w:val="21"/>
        </w:rPr>
        <w:t>The exact baseline has a small operating footprint. We version the parser and score, deploy one algorithm, monitor parsing failures, and add edge cases when a diff format surprises us.</w:t>
      </w:r>
    </w:p>
    <w:p>
      <w:pPr>
        <w:spacing w:after="140" w:line="269" w:lineRule="auto"/>
      </w:pPr>
      <w:r>
        <w:rPr>
          <w:rFonts w:ascii="Helvetica Neue" w:hAnsi="Helvetica Neue"/>
          <w:b w:val="0"/>
          <w:color w:val="14213D"/>
          <w:sz w:val="21"/>
        </w:rPr>
        <w:t>The model adds a full artifact lifecycle. We must keep feature code compatible with the saved schema, verify artifact hashes, manage Python and model-library versions, monitor prediction drift, and retrain only after a repeatable validation gate.</w:t>
      </w:r>
    </w:p>
    <w:p>
      <w:pPr>
        <w:spacing w:after="140" w:line="269" w:lineRule="auto"/>
      </w:pPr>
      <w:r>
        <w:rPr>
          <w:rFonts w:ascii="Helvetica Neue" w:hAnsi="Helvetica Neue"/>
          <w:b w:val="0"/>
          <w:color w:val="14213D"/>
          <w:sz w:val="21"/>
        </w:rPr>
        <w:t>This means the model needs a named owner. Support includes data quality, model performance, runtime dependencies, release approval, and incident investigation when the model and exact score disagree.</w:t>
      </w:r>
    </w:p>
    <w:p>
      <w:pPr>
        <w:spacing w:before="80" w:after="40"/>
      </w:pPr>
      <w:r>
        <w:rPr>
          <w:rFonts w:ascii="Helvetica Neue" w:hAnsi="Helvetica Neue"/>
          <w:b/>
          <w:color w:val="E76F51"/>
          <w:sz w:val="17"/>
        </w:rPr>
        <w:t>POINTS TO LAND</w:t>
      </w:r>
    </w:p>
    <w:p>
      <w:pPr>
        <w:pStyle w:val="ListBullet"/>
        <w:spacing w:after="60"/>
        <w:ind w:left="360" w:hanging="173"/>
      </w:pPr>
      <w:r>
        <w:rPr>
          <w:rFonts w:ascii="Helvetica Neue" w:hAnsi="Helvetica Neue"/>
          <w:b w:val="0"/>
          <w:color w:val="14213D"/>
          <w:sz w:val="20"/>
        </w:rPr>
        <w:t>Build: version features and training data.</w:t>
      </w:r>
    </w:p>
    <w:p>
      <w:pPr>
        <w:pStyle w:val="ListBullet"/>
        <w:spacing w:after="60"/>
        <w:ind w:left="360" w:hanging="173"/>
      </w:pPr>
      <w:r>
        <w:rPr>
          <w:rFonts w:ascii="Helvetica Neue" w:hAnsi="Helvetica Neue"/>
          <w:b w:val="0"/>
          <w:color w:val="14213D"/>
          <w:sz w:val="20"/>
        </w:rPr>
        <w:t>Deploy: sign and verify the model artifact.</w:t>
      </w:r>
    </w:p>
    <w:p>
      <w:pPr>
        <w:pStyle w:val="ListBullet"/>
        <w:spacing w:after="60"/>
        <w:ind w:left="360" w:hanging="173"/>
      </w:pPr>
      <w:r>
        <w:rPr>
          <w:rFonts w:ascii="Helvetica Neue" w:hAnsi="Helvetica Neue"/>
          <w:b w:val="0"/>
          <w:color w:val="14213D"/>
          <w:sz w:val="20"/>
        </w:rPr>
        <w:t>Run: monitor latency, failures, and unsupported inputs.</w:t>
      </w:r>
    </w:p>
    <w:p>
      <w:pPr>
        <w:pStyle w:val="ListBullet"/>
        <w:spacing w:after="60"/>
        <w:ind w:left="360" w:hanging="173"/>
      </w:pPr>
      <w:r>
        <w:rPr>
          <w:rFonts w:ascii="Helvetica Neue" w:hAnsi="Helvetica Neue"/>
          <w:b w:val="0"/>
          <w:color w:val="14213D"/>
          <w:sz w:val="20"/>
        </w:rPr>
        <w:t>Improve: relabel, retrain, and compare on the frozen benchmark.</w:t>
      </w:r>
    </w:p>
    <w:tbl>
      <w:tblPr>
        <w:tblW w:type="auto" w:w="0"/>
        <w:jc w:val="center"/>
        <w:tblLayout w:type="fixed"/>
        <w:tblLook w:firstColumn="1" w:firstRow="1" w:lastColumn="0" w:lastRow="0" w:noHBand="0" w:noVBand="1" w:val="04A0"/>
      </w:tblPr>
      <w:tblGrid>
        <w:gridCol w:w="10166"/>
      </w:tblGrid>
      <w:tr>
        <w:tc>
          <w:tcPr>
            <w:tcW w:type="dxa" w:w="9648"/>
            <w:shd w:fill="DDE8FF"/>
            <w:tcMar>
              <w:top w:w="100" w:type="dxa"/>
              <w:start w:w="160" w:type="dxa"/>
              <w:bottom w:w="100" w:type="dxa"/>
              <w:end w:w="160" w:type="dxa"/>
            </w:tcMar>
          </w:tcPr>
          <w:p>
            <w:r>
              <w:rPr>
                <w:rFonts w:ascii="Helvetica Neue" w:hAnsi="Helvetica Neue"/>
                <w:b/>
                <w:color w:val="2864DC"/>
                <w:sz w:val="19"/>
              </w:rPr>
              <w:t>Transition: Close with a two-score architecture and three rollout requirements.</w:t>
            </w:r>
          </w:p>
        </w:tc>
      </w:tr>
    </w:tbl>
    <w:p>
      <w:pPr>
        <w:spacing w:after="20"/>
      </w:pPr>
    </w:p>
    <w:p>
      <w:pPr>
        <w:spacing w:before="80" w:after="40"/>
      </w:pPr>
      <w:r>
        <w:rPr>
          <w:rFonts w:ascii="Helvetica Neue" w:hAnsi="Helvetica Neue"/>
          <w:b/>
          <w:color w:val="E76F51"/>
          <w:sz w:val="17"/>
        </w:rPr>
        <w:t>SLIDE 10  |  90 SECONDS</w:t>
      </w:r>
    </w:p>
    <w:p>
      <w:pPr>
        <w:pStyle w:val="Heading1"/>
        <w:spacing w:before="0" w:after="140"/>
      </w:pPr>
      <w:r>
        <w:rPr>
          <w:rFonts w:ascii="Helvetica Neue" w:hAnsi="Helvetica Neue"/>
          <w:b/>
          <w:color w:val="14213D"/>
          <w:sz w:val="36"/>
        </w:rPr>
        <w:t>Store both and decide with one</w:t>
      </w:r>
    </w:p>
    <w:p>
      <w:pPr>
        <w:spacing w:before="80" w:after="40"/>
      </w:pPr>
      <w:r>
        <w:rPr>
          <w:rFonts w:ascii="Helvetica Neue" w:hAnsi="Helvetica Neue"/>
          <w:b/>
          <w:color w:val="218B75"/>
          <w:sz w:val="17"/>
        </w:rPr>
        <w:t>SUGGESTED WORDING</w:t>
      </w:r>
    </w:p>
    <w:p>
      <w:pPr>
        <w:spacing w:after="140" w:line="269" w:lineRule="auto"/>
      </w:pPr>
      <w:r>
        <w:rPr>
          <w:rFonts w:ascii="Helvetica Neue" w:hAnsi="Helvetica Neue"/>
          <w:b w:val="0"/>
          <w:color w:val="14213D"/>
          <w:sz w:val="21"/>
        </w:rPr>
        <w:t>My recommendation is to store both values. The percentage model should be the primary estimate shown to users and used in analysis. The exact score should remain available as a transparent diagnostic.</w:t>
      </w:r>
    </w:p>
    <w:p>
      <w:pPr>
        <w:spacing w:after="140" w:line="269" w:lineRule="auto"/>
      </w:pPr>
      <w:r>
        <w:rPr>
          <w:rFonts w:ascii="Helvetica Neue" w:hAnsi="Helvetica Neue"/>
          <w:b w:val="0"/>
          <w:color w:val="14213D"/>
          <w:sz w:val="21"/>
        </w:rPr>
        <w:t>A large disagreement between the two scores is useful. It can identify a formatting-only change, a model false positive, an unsupported diff, or a case that deserves review.</w:t>
      </w:r>
    </w:p>
    <w:p>
      <w:pPr>
        <w:spacing w:after="140" w:line="269" w:lineRule="auto"/>
      </w:pPr>
      <w:r>
        <w:rPr>
          <w:rFonts w:ascii="Helvetica Neue" w:hAnsi="Helvetica Neue"/>
          <w:b w:val="0"/>
          <w:color w:val="14213D"/>
          <w:sz w:val="21"/>
        </w:rPr>
        <w:t>Before broad rollout, add confidence or an abstain state, freeze an independently human-labeled benchmark, and alert on drift and model-versus-exact disagreement. The evidence does not support replacing the model with the PIPELINE3-1376 exact score.</w:t>
      </w:r>
    </w:p>
    <w:p>
      <w:pPr>
        <w:spacing w:before="80" w:after="40"/>
      </w:pPr>
      <w:r>
        <w:rPr>
          <w:rFonts w:ascii="Helvetica Neue" w:hAnsi="Helvetica Neue"/>
          <w:b/>
          <w:color w:val="E76F51"/>
          <w:sz w:val="17"/>
        </w:rPr>
        <w:t>POINTS TO LAND</w:t>
      </w:r>
    </w:p>
    <w:p>
      <w:pPr>
        <w:pStyle w:val="ListBullet"/>
        <w:spacing w:after="60"/>
        <w:ind w:left="360" w:hanging="173"/>
      </w:pPr>
      <w:r>
        <w:rPr>
          <w:rFonts w:ascii="Helvetica Neue" w:hAnsi="Helvetica Neue"/>
          <w:b w:val="0"/>
          <w:color w:val="14213D"/>
          <w:sz w:val="20"/>
        </w:rPr>
        <w:t>Primary: percentage model.</w:t>
      </w:r>
    </w:p>
    <w:p>
      <w:pPr>
        <w:pStyle w:val="ListBullet"/>
        <w:spacing w:after="60"/>
        <w:ind w:left="360" w:hanging="173"/>
      </w:pPr>
      <w:r>
        <w:rPr>
          <w:rFonts w:ascii="Helvetica Neue" w:hAnsi="Helvetica Neue"/>
          <w:b w:val="0"/>
          <w:color w:val="14213D"/>
          <w:sz w:val="20"/>
        </w:rPr>
        <w:t>Diagnostic: exact-match percentage.</w:t>
      </w:r>
    </w:p>
    <w:p>
      <w:pPr>
        <w:pStyle w:val="ListBullet"/>
        <w:spacing w:after="60"/>
        <w:ind w:left="360" w:hanging="173"/>
      </w:pPr>
      <w:r>
        <w:rPr>
          <w:rFonts w:ascii="Helvetica Neue" w:hAnsi="Helvetica Neue"/>
          <w:b w:val="0"/>
          <w:color w:val="14213D"/>
          <w:sz w:val="20"/>
        </w:rPr>
        <w:t>Next controls: uncertainty, human benchmark, disagreement monitoring.</w:t>
      </w:r>
    </w:p>
    <w:tbl>
      <w:tblPr>
        <w:tblW w:type="auto" w:w="0"/>
        <w:jc w:val="center"/>
        <w:tblLayout w:type="fixed"/>
        <w:tblLook w:firstColumn="1" w:firstRow="1" w:lastColumn="0" w:lastRow="0" w:noHBand="0" w:noVBand="1" w:val="04A0"/>
      </w:tblPr>
      <w:tblGrid>
        <w:gridCol w:w="10166"/>
      </w:tblGrid>
      <w:tr>
        <w:tc>
          <w:tcPr>
            <w:tcW w:type="dxa" w:w="9648"/>
            <w:shd w:fill="DDE8FF"/>
            <w:tcMar>
              <w:top w:w="100" w:type="dxa"/>
              <w:start w:w="160" w:type="dxa"/>
              <w:bottom w:w="100" w:type="dxa"/>
              <w:end w:w="160" w:type="dxa"/>
            </w:tcMar>
          </w:tcPr>
          <w:p>
            <w:r>
              <w:rPr>
                <w:rFonts w:ascii="Helvetica Neue" w:hAnsi="Helvetica Neue"/>
                <w:b/>
                <w:color w:val="2864DC"/>
                <w:sz w:val="19"/>
              </w:rPr>
              <w:t>Transition: Invite questions about evidence, operating cost, or the rollout controls.</w:t>
            </w:r>
          </w:p>
        </w:tc>
      </w:tr>
    </w:tbl>
    <w:p>
      <w:pPr>
        <w:spacing w:after="20"/>
      </w:pPr>
    </w:p>
    <w:p>
      <w:r>
        <w:br w:type="page"/>
      </w:r>
    </w:p>
    <w:p>
      <w:pPr>
        <w:spacing w:before="80" w:after="40"/>
      </w:pPr>
      <w:r>
        <w:rPr>
          <w:rFonts w:ascii="Helvetica Neue" w:hAnsi="Helvetica Neue"/>
          <w:b/>
          <w:color w:val="2864DC"/>
          <w:sz w:val="17"/>
        </w:rPr>
        <w:t>DISCUSSION SUPPORT</w:t>
      </w:r>
    </w:p>
    <w:p>
      <w:pPr>
        <w:pStyle w:val="Heading1"/>
      </w:pPr>
      <w:r>
        <w:rPr>
          <w:rFonts w:ascii="Helvetica Neue" w:hAnsi="Helvetica Neue"/>
          <w:b/>
          <w:color w:val="14213D"/>
          <w:sz w:val="40"/>
        </w:rPr>
        <w:t>Likely questions and concise answers</w:t>
      </w:r>
    </w:p>
    <w:p>
      <w:pPr>
        <w:spacing w:before="160" w:after="60"/>
      </w:pPr>
      <w:r>
        <w:rPr>
          <w:rFonts w:ascii="Helvetica Neue" w:hAnsi="Helvetica Neue"/>
          <w:b/>
          <w:color w:val="2864DC"/>
          <w:sz w:val="22"/>
        </w:rPr>
        <w:t>Why not use exact matching because it is objective?</w:t>
      </w:r>
    </w:p>
    <w:p>
      <w:pPr>
        <w:spacing w:after="140" w:line="269" w:lineRule="auto"/>
      </w:pPr>
      <w:r>
        <w:rPr>
          <w:rFonts w:ascii="Helvetica Neue" w:hAnsi="Helvetica Neue"/>
          <w:b w:val="0"/>
          <w:color w:val="14213D"/>
          <w:sz w:val="21"/>
        </w:rPr>
        <w:t>It is objective about literal identity, but the product question is broader: how much of the suggestion landed after normal editing. The held-out error shows literal identity is too narrow for the primary percentage.</w:t>
      </w:r>
    </w:p>
    <w:p>
      <w:pPr>
        <w:spacing w:before="160" w:after="60"/>
      </w:pPr>
      <w:r>
        <w:rPr>
          <w:rFonts w:ascii="Helvetica Neue" w:hAnsi="Helvetica Neue"/>
          <w:b/>
          <w:color w:val="2864DC"/>
          <w:sz w:val="22"/>
        </w:rPr>
        <w:t>Is the model ready for an automated decision?</w:t>
      </w:r>
    </w:p>
    <w:p>
      <w:pPr>
        <w:spacing w:after="140" w:line="269" w:lineRule="auto"/>
      </w:pPr>
      <w:r>
        <w:rPr>
          <w:rFonts w:ascii="Helvetica Neue" w:hAnsi="Helvetica Neue"/>
          <w:b w:val="0"/>
          <w:color w:val="14213D"/>
          <w:sz w:val="21"/>
        </w:rPr>
        <w:t>It is stronger than the exact baseline, but the percentage-only response needs uncertainty or abstention before high-impact automation. The current evidence supports measurement and monitoring, not an irreversible gate.</w:t>
      </w:r>
    </w:p>
    <w:p>
      <w:pPr>
        <w:spacing w:before="160" w:after="60"/>
      </w:pPr>
      <w:r>
        <w:rPr>
          <w:rFonts w:ascii="Helvetica Neue" w:hAnsi="Helvetica Neue"/>
          <w:b/>
          <w:color w:val="2864DC"/>
          <w:sz w:val="22"/>
        </w:rPr>
        <w:t>Why keep the exact score at all?</w:t>
      </w:r>
    </w:p>
    <w:p>
      <w:pPr>
        <w:spacing w:after="140" w:line="269" w:lineRule="auto"/>
      </w:pPr>
      <w:r>
        <w:rPr>
          <w:rFonts w:ascii="Helvetica Neue" w:hAnsi="Helvetica Neue"/>
          <w:b w:val="0"/>
          <w:color w:val="14213D"/>
          <w:sz w:val="21"/>
        </w:rPr>
        <w:t>It is cheap, explainable, and useful for auditing. Disagreement with the model is itself a valuable signal.</w:t>
      </w:r>
    </w:p>
    <w:p>
      <w:pPr>
        <w:spacing w:before="160" w:after="60"/>
      </w:pPr>
      <w:r>
        <w:rPr>
          <w:rFonts w:ascii="Helvetica Neue" w:hAnsi="Helvetica Neue"/>
          <w:b/>
          <w:color w:val="2864DC"/>
          <w:sz w:val="22"/>
        </w:rPr>
        <w:t>What does support require?</w:t>
      </w:r>
    </w:p>
    <w:p>
      <w:pPr>
        <w:spacing w:after="140" w:line="269" w:lineRule="auto"/>
      </w:pPr>
      <w:r>
        <w:rPr>
          <w:rFonts w:ascii="Helvetica Neue" w:hAnsi="Helvetica Neue"/>
          <w:b w:val="0"/>
          <w:color w:val="14213D"/>
          <w:sz w:val="21"/>
        </w:rPr>
        <w:t>A named owner for feature compatibility, artifacts, runtime dependencies, drift monitoring, retraining, and incident analysis. Exact matching mainly needs parser ownership and tests.</w:t>
      </w:r>
    </w:p>
    <w:p>
      <w:pPr>
        <w:spacing w:before="160" w:after="60"/>
      </w:pPr>
      <w:r>
        <w:rPr>
          <w:rFonts w:ascii="Helvetica Neue" w:hAnsi="Helvetica Neue"/>
          <w:b/>
          <w:color w:val="2864DC"/>
          <w:sz w:val="22"/>
        </w:rPr>
        <w:t>Can we call 9.74 points the production accuracy?</w:t>
      </w:r>
    </w:p>
    <w:p>
      <w:pPr>
        <w:spacing w:after="140" w:line="269" w:lineRule="auto"/>
      </w:pPr>
      <w:r>
        <w:rPr>
          <w:rFonts w:ascii="Helvetica Neue" w:hAnsi="Helvetica Neue"/>
          <w:b w:val="0"/>
          <w:color w:val="14213D"/>
          <w:sz w:val="21"/>
        </w:rPr>
        <w:t>Call it held-out MAE on the current internal benchmark. Do not generalize it beyond similar data until a frozen human benchmark and production monitoring confirm it.</w:t>
      </w:r>
    </w:p>
    <w:p>
      <w:pPr>
        <w:spacing w:before="160" w:after="60"/>
      </w:pPr>
      <w:r>
        <w:rPr>
          <w:rFonts w:ascii="Helvetica Neue" w:hAnsi="Helvetica Neue"/>
          <w:b/>
          <w:color w:val="2864DC"/>
          <w:sz w:val="22"/>
        </w:rPr>
        <w:t>Why does the model return only a percentage?</w:t>
      </w:r>
    </w:p>
    <w:p>
      <w:pPr>
        <w:spacing w:after="140" w:line="269" w:lineRule="auto"/>
      </w:pPr>
      <w:r>
        <w:rPr>
          <w:rFonts w:ascii="Helvetica Neue" w:hAnsi="Helvetica Neue"/>
          <w:b w:val="0"/>
          <w:color w:val="14213D"/>
          <w:sz w:val="21"/>
        </w:rPr>
        <w:t>The interface was designed for simple consumption. That simplicity is useful, but it should be extended with confidence, interval, warning, model version, and abstention fields.</w:t>
      </w:r>
    </w:p>
    <w:p>
      <w:pPr>
        <w:spacing w:before="80" w:after="40"/>
      </w:pPr>
      <w:r>
        <w:rPr>
          <w:rFonts w:ascii="Helvetica Neue" w:hAnsi="Helvetica Neue"/>
          <w:b/>
          <w:color w:val="E76F51"/>
          <w:sz w:val="17"/>
        </w:rPr>
        <w:t>SOURCE NOTES</w:t>
      </w:r>
    </w:p>
    <w:p>
      <w:pPr>
        <w:pStyle w:val="ListBullet"/>
        <w:spacing w:after="60"/>
        <w:ind w:left="360" w:hanging="173"/>
      </w:pPr>
      <w:r>
        <w:rPr>
          <w:rFonts w:ascii="Helvetica Neue" w:hAnsi="Helvetica Neue"/>
          <w:b w:val="0"/>
          <w:color w:val="14213D"/>
          <w:sz w:val="20"/>
        </w:rPr>
        <w:t>PIPELINE3-1376 source: pipeline-fl-control-plane commit 93f803ea; algorithm version diff-unit-multiset-v2.</w:t>
      </w:r>
    </w:p>
    <w:p>
      <w:pPr>
        <w:pStyle w:val="ListBullet"/>
        <w:spacing w:after="60"/>
        <w:ind w:left="360" w:hanging="173"/>
      </w:pPr>
      <w:r>
        <w:rPr>
          <w:rFonts w:ascii="Helvetica Neue" w:hAnsi="Helvetica Neue"/>
          <w:b w:val="0"/>
          <w:color w:val="14213D"/>
          <w:sz w:val="20"/>
        </w:rPr>
        <w:t>Held-out benchmark: 70 internal examples from 19 grouped pull requests, random state 42.</w:t>
      </w:r>
    </w:p>
    <w:p>
      <w:pPr>
        <w:pStyle w:val="ListBullet"/>
        <w:spacing w:after="60"/>
        <w:ind w:left="360" w:hanging="173"/>
      </w:pPr>
      <w:r>
        <w:rPr>
          <w:rFonts w:ascii="Helvetica Neue" w:hAnsi="Helvetica Neue"/>
          <w:b w:val="0"/>
          <w:color w:val="14213D"/>
          <w:sz w:val="20"/>
        </w:rPr>
        <w:t>Model artifact: weighted percentage ensemble with 0.5 random forest, 0.3 two-stage model, and 0.2 CatBoost MAE weights.</w:t>
      </w:r>
    </w:p>
    <w:p>
      <w:pPr>
        <w:pStyle w:val="ListBullet"/>
        <w:spacing w:after="60"/>
        <w:ind w:left="360" w:hanging="173"/>
      </w:pPr>
      <w:r>
        <w:rPr>
          <w:rFonts w:ascii="Helvetica Neue" w:hAnsi="Helvetica Neue"/>
          <w:b w:val="0"/>
          <w:color w:val="14213D"/>
          <w:sz w:val="20"/>
        </w:rPr>
        <w:t>Public example: LadybirdBrowser/ladybird pull request 6220, benchmark example b2651caf456e27f1.</w:t>
      </w:r>
    </w:p>
    <w:p>
      <w:pPr>
        <w:pStyle w:val="ListBullet"/>
        <w:spacing w:after="60"/>
        <w:ind w:left="360" w:hanging="173"/>
      </w:pPr>
      <w:r>
        <w:rPr>
          <w:rFonts w:ascii="Helvetica Neue" w:hAnsi="Helvetica Neue"/>
          <w:b w:val="0"/>
          <w:color w:val="14213D"/>
          <w:sz w:val="20"/>
        </w:rPr>
        <w:t>Reference labels are LLM-assisted weak labels and should not be described as independent ground truth.</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lvetica Neue" w:hAnsi="Helvetica Neue"/>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