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288cb99f31a43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6D" w:rsidRDefault="00B12D6D"/>
    <w:p w:rsidR="00BA511D" w:rsidRDefault="00BA511D" w:rsidP="00BA511D">
      <w:pPr>
        <w:jc w:val="right"/>
        <w:rPr>
          <w:b/>
          <w:sz w:val="44"/>
          <w:szCs w:val="44"/>
        </w:rPr>
      </w:pPr>
      <w:r w:rsidRPr="00BA511D">
        <w:rPr>
          <w:b/>
          <w:sz w:val="44"/>
          <w:szCs w:val="44"/>
        </w:rPr>
        <w:t>PREVENTIVO</w:t>
      </w:r>
    </w:p>
    <w:p w:rsidR="00BA511D" w:rsidRPr="00BA511D" w:rsidRDefault="00BA511D" w:rsidP="00BA511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8pt;width:456.75pt;height:0;z-index:251658240" o:connectortype="straight"/>
        </w:pict>
      </w:r>
    </w:p>
    <w:tbl>
      <w:tblPr>
        <w:tblW w:w="5000" w:type="pct"/>
        <w:tblLook w:val="04A0"/>
      </w:tblPr>
      <w:tblGrid>
        <w:gridCol w:w="2310"/>
        <w:gridCol w:w="2311"/>
        <w:gridCol w:w="4621"/>
      </w:tblGrid>
      <w:tr w:rsidR="001F41BE" w:rsidRPr="008B18EF" w:rsidTr="001F41BE">
        <w:tc>
          <w:tcPr>
            <w:tcW w:w="2500" w:type="pct"/>
            <w:gridSpan w:val="2"/>
            <w:vMerge w:val="restart"/>
            <w:vAlign w:val="bottom"/>
          </w:tcPr>
          <w:p w:rsidR="001F41BE" w:rsidRDefault="001F41BE" w:rsidP="00DE2EDB">
            <w:pPr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br/>
            </w:r>
          </w:p>
          <w:p w:rsidR="001F41BE" w:rsidRPr="00BA511D" w:rsidRDefault="001F41BE" w:rsidP="001F41BE">
            <w:pPr>
              <w:spacing w:line="360" w:lineRule="auto"/>
            </w:pPr>
            <w:r w:rsidRPr="00BA511D">
              <w:rPr>
                <w:b/>
                <w:sz w:val="24"/>
                <w:szCs w:val="24"/>
              </w:rPr>
              <w:t>Data:</w:t>
            </w:r>
            <w:r>
              <w:t xml:space="preserve"> </w:t>
            </w:r>
            <w:fldSimple w:instr="DOCPROPERTY invoice_date \* MERGEFORMAT">
              <w:r w:rsidRPr="00BA511D">
                <w:rPr>
                  <w:i/>
                </w:rPr>
                <w:t>02/01/2014</w:t>
              </w:r>
            </w:fldSimple>
          </w:p>
          <w:p w:rsidR="001F41BE" w:rsidRPr="001F41BE" w:rsidRDefault="001F41BE" w:rsidP="001F41BE">
            <w:pPr>
              <w:spacing w:line="360" w:lineRule="auto"/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t>Preventivo n°:</w:t>
            </w:r>
            <w:r>
              <w:rPr>
                <w:b/>
                <w:sz w:val="24"/>
                <w:szCs w:val="24"/>
              </w:rPr>
              <w:t xml:space="preserve"> </w:t>
            </w:r>
            <w:fldSimple w:instr="DOCPROPERTY invoice_number \* MERGEFORMAT">
              <w:r w:rsidRPr="00BA511D">
                <w:rPr>
                  <w:i/>
                </w:rPr>
                <w:t>12</w:t>
              </w:r>
            </w:fldSimple>
          </w:p>
        </w:tc>
        <w:tc>
          <w:tcPr>
            <w:tcW w:w="2500" w:type="pct"/>
          </w:tcPr>
          <w:p w:rsidR="001F41BE" w:rsidRPr="00BA511D" w:rsidRDefault="001F41BE" w:rsidP="00DE2EDB">
            <w:pPr>
              <w:jc w:val="right"/>
            </w:pPr>
          </w:p>
        </w:tc>
      </w:tr>
      <w:tr w:rsidR="001F41BE" w:rsidRPr="008B18EF" w:rsidTr="001F41BE">
        <w:trPr>
          <w:trHeight w:val="363"/>
        </w:trPr>
        <w:tc>
          <w:tcPr>
            <w:tcW w:w="2500" w:type="pct"/>
            <w:gridSpan w:val="2"/>
            <w:vMerge/>
            <w:vAlign w:val="bottom"/>
          </w:tcPr>
          <w:p w:rsidR="001F41BE" w:rsidRPr="00BA511D" w:rsidRDefault="001F41BE" w:rsidP="00DE2EDB">
            <w:pPr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  <w:vMerge w:val="restart"/>
          </w:tcPr>
          <w:p w:rsidR="001F41BE" w:rsidRPr="00BA511D" w:rsidRDefault="001F41BE" w:rsidP="00DE2EDB">
            <w:r w:rsidRPr="00BA511D">
              <w:t>Spett.le</w:t>
            </w:r>
          </w:p>
          <w:p w:rsidR="001F41BE" w:rsidRPr="00BA511D" w:rsidRDefault="001F41BE" w:rsidP="00BA511D">
            <w:pPr>
              <w:ind w:left="199"/>
            </w:pPr>
            <w:fldSimple w:instr="DOCPROPERTY company_name \* MERGEFORMAT">
              <w:r w:rsidRPr="00BA511D">
                <w:rPr>
                  <w:b/>
                  <w:sz w:val="28"/>
                  <w:szCs w:val="28"/>
                </w:rPr>
                <w:t>Antalis S.r.l.</w:t>
              </w:r>
            </w:fldSimple>
            <w:r w:rsidRPr="00BA511D">
              <w:rPr>
                <w:sz w:val="28"/>
                <w:szCs w:val="28"/>
              </w:rPr>
              <w:br/>
            </w:r>
            <w:fldSimple w:instr="DOCPROPERTY company_slogan \* MERGEFORMAT">
              <w:r w:rsidRPr="00BA511D">
                <w:rPr>
                  <w:i/>
                </w:rPr>
                <w:t/>
              </w:r>
            </w:fldSimple>
          </w:p>
          <w:p w:rsidR="001F41BE" w:rsidRPr="00BA511D" w:rsidRDefault="001F41BE" w:rsidP="00BA511D">
            <w:pPr>
              <w:ind w:left="199"/>
              <w:rPr>
                <w:b/>
                <w:sz w:val="24"/>
                <w:szCs w:val="24"/>
              </w:rPr>
            </w:pPr>
            <w:fldSimple w:instr="DOCPROPERTY hired_company_address_line_one \* MERGEFORMAT">
              <w:r w:rsidRPr="00BA511D">
                <w:rPr>
                  <w:i/>
                </w:rPr>
                <w:t/>
              </w:r>
            </w:fldSimple>
            <w:r w:rsidRPr="00BA511D">
              <w:br/>
            </w:r>
            <w:fldSimple w:instr="DOCPROPERTY hired_company_address_line_two \* MERGEFORMAT">
              <w:r w:rsidRPr="00BA511D">
                <w:rPr>
                  <w:i/>
                </w:rPr>
                <w:t xml:space="preserve">  </w:t>
              </w:r>
            </w:fldSimple>
            <w:r w:rsidRPr="00BA511D">
              <w:br/>
            </w:r>
            <w:fldSimple w:instr="DOCPROPERTY hired_company_address_line_three \* MERGEFORMAT">
              <w:r w:rsidRPr="00BA511D">
                <w:rPr>
                  <w:i/>
                </w:rPr>
                <w:t/>
              </w:r>
            </w:fldSimple>
          </w:p>
        </w:tc>
      </w:tr>
      <w:tr w:rsidR="00BA511D" w:rsidRPr="008B18EF" w:rsidTr="00BA511D">
        <w:trPr>
          <w:trHeight w:val="363"/>
        </w:trPr>
        <w:tc>
          <w:tcPr>
            <w:tcW w:w="1250" w:type="pct"/>
            <w:vAlign w:val="bottom"/>
          </w:tcPr>
          <w:p w:rsidR="00BA511D" w:rsidRPr="008B18EF" w:rsidRDefault="00BA511D" w:rsidP="00DE2EDB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bottom"/>
          </w:tcPr>
          <w:p w:rsidR="00BA511D" w:rsidRDefault="00BA511D" w:rsidP="00DE2EDB"/>
        </w:tc>
        <w:tc>
          <w:tcPr>
            <w:tcW w:w="2500" w:type="pct"/>
            <w:vMerge/>
          </w:tcPr>
          <w:p w:rsidR="00BA511D" w:rsidRPr="008B18EF" w:rsidRDefault="00BA511D" w:rsidP="00DE2EDB">
            <w:pPr>
              <w:rPr>
                <w:rFonts w:ascii="Franklin Gothic Book" w:hAnsi="Franklin Gothic Book"/>
              </w:rPr>
            </w:pPr>
          </w:p>
        </w:tc>
      </w:tr>
    </w:tbl>
    <w:p w:rsidR="00BA511D" w:rsidRPr="008B18EF" w:rsidRDefault="00BA511D"/>
    <w:p w:rsidR="008B18EF" w:rsidRPr="008B18EF" w:rsidRDefault="008B18EF"/>
    <w:p w:rsidR="008B18EF" w:rsidRPr="00B82D2D" w:rsidRDefault="008B18EF">
      <w:pPr>
        <w:rPr>
          <w:rFonts w:ascii="Franklin Gothic Book" w:hAnsi="Franklin Gothic Book"/>
        </w:rPr>
      </w:pPr>
    </w:p>
    <w:tbl>
      <w:tblPr>
        <w:tblStyle w:val="LightShading-Accent1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rPr>
                <w:lang w:val="it-IT"/>
                <w:b/>
              </w:rPr>
              <w:t>Description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it-IT"/>
                <w:b/>
              </w:rPr>
              <w:t>Hours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it-IT"/>
                <w:b/>
              </w:rPr>
              <w:t>Rate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it-IT"/>
                <w:b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it-IT"/>
              </w:rPr>
              <w:t>1 descrizione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1 11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1 89,76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1 987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it-IT"/>
              </w:rPr>
              <w:t>2 descrizione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2 11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2 89,76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2 987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it-IT"/>
              </w:rPr>
              <w:t>3 descrizione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3 11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3 89,76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3 987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it-IT"/>
              </w:rPr>
              <w:t>4 descrizione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4 11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4 89,76</w:t>
            </w:r>
          </w:p>
        </w:tc>
        <w:tc>
          <w:tcPr>
            <w:tcW w:w="2310" w:type="dxa"/>
          </w:tcPr>
          <w:p>
            <w:pPr/>
            <w:r>
              <w:rPr>
                <w:lang w:val="it-IT"/>
              </w:rPr>
              <w:t>4 987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it-IT"/>
              </w:rPr>
              <w:t>Total: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:rsidR="00B12D6D" w:rsidRDefault="00B12D6D">
      <w:pPr>
        <w:jc w:val="center"/>
      </w:pPr>
    </w:p>
    <w:sectPr w:rsidR="00B12D6D" w:rsidSect="00FC30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E1B" w:rsidRDefault="00CF2E1B" w:rsidP="008B18EF">
      <w:r>
        <w:separator/>
      </w:r>
    </w:p>
  </w:endnote>
  <w:endnote w:type="continuationSeparator" w:id="1">
    <w:p w:rsidR="00CF2E1B" w:rsidRDefault="00CF2E1B" w:rsidP="008B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EF" w:rsidRDefault="008B18EF">
    <w:pPr>
      <w:pStyle w:val="Pidipagina"/>
    </w:pPr>
  </w:p>
  <w:tbl>
    <w:tblPr>
      <w:tblW w:w="10773" w:type="dxa"/>
      <w:tblInd w:w="-459" w:type="dxa"/>
      <w:tblLayout w:type="fixed"/>
      <w:tblLook w:val="0000"/>
    </w:tblPr>
    <w:tblGrid>
      <w:gridCol w:w="6503"/>
      <w:gridCol w:w="236"/>
      <w:gridCol w:w="4034"/>
    </w:tblGrid>
    <w:tr w:rsidR="008B18EF" w:rsidRPr="00BA511D" w:rsidTr="00CE0810">
      <w:trPr>
        <w:trHeight w:val="114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Condizioni generali di vendita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Validità dell’offerta</w:t>
          </w:r>
        </w:p>
      </w:tc>
    </w:tr>
    <w:tr w:rsidR="008B18EF" w:rsidRPr="00BA511D" w:rsidTr="00CE0810">
      <w:trPr>
        <w:trHeight w:val="104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La merce viaggia a rischio e pericolo del committente anche se venduta in porto franco. Non si accettano reclami trascorsi 8 gg. dal ricevimento della merce. Per ogni controversia è competente il foro di Milano. Con la firma della presente il committente dichiara di accettare le clusole di vendita sopra descritte e di attenervisi.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L’offerta si intende valida 30 gg salvo variazioni sul mercato dei costi delle materie prime e dei rinnovi contrattuali nazionali. Eventuali lavorazioni non previste nell’offerta verranno aggiunte ai costi finali.</w:t>
          </w:r>
        </w:p>
      </w:tc>
    </w:tr>
    <w:tr w:rsidR="008B18EF" w:rsidRPr="00BA511D" w:rsidTr="00CE0810">
      <w:trPr>
        <w:trHeight w:val="19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Anagrafica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Timbro e firma per accettazione</w:t>
          </w:r>
        </w:p>
      </w:tc>
    </w:tr>
    <w:tr w:rsidR="008B18EF" w:rsidRPr="00BA511D" w:rsidTr="00CE0810">
      <w:trPr>
        <w:trHeight w:val="918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In caso di accettazione dell’offerta, insieme alla stessa, vogliate inviarci i vostri dati anagrafici per la fatturazione e la vostra banca di appoggio con le relative coordinate bancarie. Ai sensi del DLGS 196/03 vi informiamo che il Vostro nominativo sarà incluso nei nostri anchivi per adempiere ai necessari obblighi contabili e amministrativi.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……………………………………………………………………………………………</w:t>
          </w:r>
        </w:p>
      </w:tc>
    </w:tr>
  </w:tbl>
  <w:p w:rsidR="008B18EF" w:rsidRDefault="008B18EF">
    <w:pPr>
      <w:pStyle w:val="Pidipagina"/>
    </w:pPr>
  </w:p>
  <w:p w:rsidR="008B18EF" w:rsidRDefault="008B18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E1B" w:rsidRDefault="00CF2E1B" w:rsidP="008B18EF">
      <w:r>
        <w:separator/>
      </w:r>
    </w:p>
  </w:footnote>
  <w:footnote w:type="continuationSeparator" w:id="1">
    <w:p w:rsidR="00CF2E1B" w:rsidRDefault="00CF2E1B" w:rsidP="008B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333" w:type="pct"/>
      <w:tblLook w:val="04A0"/>
    </w:tblPr>
    <w:tblGrid>
      <w:gridCol w:w="2094"/>
      <w:gridCol w:w="4067"/>
    </w:tblGrid>
    <w:tr w:rsidR="00BA511D" w:rsidRPr="008B18EF" w:rsidTr="00BA511D">
      <w:tc>
        <w:tcPr>
          <w:tcW w:w="1699" w:type="pct"/>
        </w:tcPr>
        <w:p w:rsidR="00BA511D" w:rsidRPr="008B18EF" w:rsidRDefault="00BA511D" w:rsidP="00DE2EDB">
          <w:r w:rsidRPr="008B18EF">
            <w:rPr>
              <w:noProof/>
              <w:lang w:val="it-IT" w:eastAsia="it-IT"/>
            </w:rPr>
            <w:drawing>
              <wp:inline distT="0" distB="0" distL="0" distR="0">
                <wp:extent cx="895444" cy="46677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444" cy="4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1" w:type="pct"/>
        </w:tcPr>
        <w:p w:rsidR="00BA511D" w:rsidRDefault="00BA511D" w:rsidP="00DE2EDB">
          <w:r>
            <w:t>Algola S.r.l.</w:t>
          </w:r>
        </w:p>
        <w:p w:rsidR="00BA511D" w:rsidRDefault="00BA511D" w:rsidP="00DE2EDB">
          <w:r>
            <w:t>Via Gerosa, 180</w:t>
          </w:r>
        </w:p>
        <w:p w:rsidR="00BA511D" w:rsidRPr="008B18EF" w:rsidRDefault="00BA511D" w:rsidP="00DE2EDB">
          <w:r>
            <w:t>41122 Modena Mo</w:t>
          </w:r>
        </w:p>
      </w:tc>
    </w:tr>
  </w:tbl>
  <w:p w:rsidR="00BA511D" w:rsidRDefault="00BA511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D6D"/>
    <w:rsid w:val="00193D57"/>
    <w:rsid w:val="001F41BE"/>
    <w:rsid w:val="006A6934"/>
    <w:rsid w:val="008B18EF"/>
    <w:rsid w:val="00B12D6D"/>
    <w:rsid w:val="00B82D2D"/>
    <w:rsid w:val="00BA511D"/>
    <w:rsid w:val="00CF2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-Colore1">
    <w:name w:val="Light Shading Accent 1"/>
    <w:basedOn w:val="Tabellanormale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8B18EF"/>
    <w:pPr>
      <w:tabs>
        <w:tab w:val="center" w:pos="4819"/>
        <w:tab w:val="right" w:pos="9638"/>
      </w:tabs>
    </w:pPr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18EF"/>
    <w:rPr>
      <w:rFonts w:ascii="Times New Roman" w:hAnsi="Times New Roman" w:cs="Times New Roman"/>
      <w:sz w:val="20"/>
      <w:szCs w:val="20"/>
      <w:lang w:val="it-IT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8B18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18EF"/>
  </w:style>
  <w:style w:type="table" w:styleId="LightShading-Accent1">
    <w:name w:val="Light Shading Accent 1"/>
    <w:basedOn w:val="TableNormal"/>
    <w:uiPriority w:val="60"/>
    <w:rsid w:val="008D01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6</cp:revision>
  <dcterms:created xsi:type="dcterms:W3CDTF">2014-01-02T13:45:00Z</dcterms:created>
  <dcterms:modified xsi:type="dcterms:W3CDTF">2014-01-02T14:06:00Z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_name">
    <vt:lpwstr>Antalis S.r.l.</vt:lpwstr>
  </property>
  <property fmtid="{D5CDD505-2E9C-101B-9397-08002B2CF9AE}" pid="3" name="company_slogan">
    <vt:lpwstr/>
  </property>
  <property fmtid="{D5CDD505-2E9C-101B-9397-08002B2CF9AE}" pid="4" name="hired_company_address_line_one">
    <vt:lpwstr/>
  </property>
  <property fmtid="{D5CDD505-2E9C-101B-9397-08002B2CF9AE}" pid="5" name="hired_company_address_line_two">
    <vt:lpwstr>  </vt:lpwstr>
  </property>
  <property fmtid="{D5CDD505-2E9C-101B-9397-08002B2CF9AE}" pid="6" name="hired_company_address_line_three">
    <vt:lpwstr/>
  </property>
  <property fmtid="{D5CDD505-2E9C-101B-9397-08002B2CF9AE}" pid="7" name="invoice_date">
    <vt:lpwstr>02/01/2014</vt:lpwstr>
  </property>
  <property fmtid="{D5CDD505-2E9C-101B-9397-08002B2CF9AE}" pid="8" name="invoice_number">
    <vt:lpwstr>12</vt:lpwstr>
  </property>
  <property fmtid="{D5CDD505-2E9C-101B-9397-08002B2CF9AE}" pid="9" name="hired_company_details_line_one">
    <vt:lpwstr>Business Street, Dublin, 12345</vt:lpwstr>
  </property>
  <property fmtid="{D5CDD505-2E9C-101B-9397-08002B2CF9AE}" pid="10" name="hired_company_details_line_two">
    <vt:lpwstr>Phone: 012-345-6789, Fax: 012-345-6789, e-mail: support@thehappybuilder.com</vt:lpwstr>
  </property>
</Properties>
</file>