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50.png" ContentType="image/png"/>
  <Override PartName="/word/media/rId61.png" ContentType="image/png"/>
  <Override PartName="/word/media/rId46.png" ContentType="image/png"/>
  <Override PartName="/word/media/rId36.png" ContentType="image/png"/>
  <Override PartName="/word/media/rId55.png" ContentType="image/png"/>
  <Override PartName="/word/media/rId22.png" ContentType="image/png"/>
  <Override PartName="/word/media/rId39.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Circumpolar</w:t>
      </w:r>
      <w:r>
        <w:t xml:space="preserve"> </w:t>
      </w:r>
      <w:r>
        <w:t xml:space="preserve">Phase</w:t>
      </w:r>
      <w:r>
        <w:t xml:space="preserve"> </w:t>
      </w:r>
      <w:r>
        <w:t xml:space="preserve">Alignment</w:t>
      </w:r>
      <w:r>
        <w:t xml:space="preserve"> </w:t>
      </w:r>
      <w:r>
        <w:t xml:space="preserve">between</w:t>
      </w:r>
      <w:r>
        <w:t xml:space="preserve"> </w:t>
      </w:r>
      <w:r>
        <w:t xml:space="preserve">Subauroral</w:t>
      </w:r>
      <w:r>
        <w:t xml:space="preserve"> </w:t>
      </w:r>
      <w:r>
        <w:t xml:space="preserve">Geomagnetic</w:t>
      </w:r>
      <w:r>
        <w:t xml:space="preserve"> </w:t>
      </w:r>
      <w:r>
        <w:t xml:space="preserve">Variance</w:t>
      </w:r>
      <w:r>
        <w:t xml:space="preserve"> </w:t>
      </w:r>
      <w:r>
        <w:t xml:space="preserve">(Kp/Ap,</w:t>
      </w:r>
      <w:r>
        <w:t xml:space="preserve"> </w:t>
      </w:r>
      <w:r>
        <w:t xml:space="preserve">Definitive</w:t>
      </w:r>
      <w:r>
        <w:t xml:space="preserve"> </w:t>
      </w:r>
      <w:r>
        <w:t xml:space="preserve">Series</w:t>
      </w:r>
      <w:r>
        <w:t xml:space="preserve"> </w:t>
      </w:r>
      <w:r>
        <w:t xml:space="preserve">1957–2025)</w:t>
      </w:r>
      <w:r>
        <w:t xml:space="preserve"> </w:t>
      </w:r>
      <w:r>
        <w:t xml:space="preserve">and</w:t>
      </w:r>
      <w:r>
        <w:t xml:space="preserve"> </w:t>
      </w:r>
      <w:r>
        <w:t xml:space="preserve">Worldwide</w:t>
      </w:r>
      <w:r>
        <w:t xml:space="preserve"> </w:t>
      </w:r>
      <w:r>
        <w:t xml:space="preserve">Search</w:t>
      </w:r>
      <w:r>
        <w:t xml:space="preserve"> </w:t>
      </w:r>
      <w:r>
        <w:t xml:space="preserve">Interest</w:t>
      </w:r>
      <w:r>
        <w:t xml:space="preserve"> </w:t>
      </w:r>
      <w:r>
        <w:t xml:space="preserve">in</w:t>
      </w:r>
      <w:r>
        <w:t xml:space="preserve"> </w:t>
      </w:r>
      <w:r>
        <w:t xml:space="preserve">Unidentified</w:t>
      </w:r>
      <w:r>
        <w:t xml:space="preserve"> </w:t>
      </w:r>
      <w:r>
        <w:t xml:space="preserve">Flying</w:t>
      </w:r>
      <w:r>
        <w:t xml:space="preserve"> </w:t>
      </w:r>
      <w:r>
        <w:t xml:space="preserve">Objects</w:t>
      </w:r>
      <w:r>
        <w:t xml:space="preserve"> </w:t>
      </w:r>
      <w:r>
        <w:t xml:space="preserve">(2004–2021):</w:t>
      </w:r>
      <w:r>
        <w:t xml:space="preserve"> </w:t>
      </w:r>
      <w:r>
        <w:t xml:space="preserve">A</w:t>
      </w:r>
      <w:r>
        <w:t xml:space="preserve"> </w:t>
      </w:r>
      <w:r>
        <w:t xml:space="preserve">Vector-Autoregressive,</w:t>
      </w:r>
      <w:r>
        <w:t xml:space="preserve"> </w:t>
      </w:r>
      <w:r>
        <w:t xml:space="preserve">Cross-Spectral</w:t>
      </w:r>
      <w:r>
        <w:t xml:space="preserve"> </w:t>
      </w:r>
      <w:r>
        <w:t xml:space="preserve">and</w:t>
      </w:r>
      <w:r>
        <w:t xml:space="preserve"> </w:t>
      </w:r>
      <w:r>
        <w:t xml:space="preserve">Dot-Product</w:t>
      </w:r>
      <w:r>
        <w:t xml:space="preserve"> </w:t>
      </w:r>
      <w:r>
        <w:t xml:space="preserve">Coherence</w:t>
      </w:r>
      <w:r>
        <w:t xml:space="preserve"> </w:t>
      </w:r>
      <w:r>
        <w:t xml:space="preserve">Reconstruction</w:t>
      </w:r>
      <w:r>
        <w:t xml:space="preserve"> </w:t>
      </w:r>
      <w:r>
        <w:t xml:space="preserve">of</w:t>
      </w:r>
      <w:r>
        <w:t xml:space="preserve"> </w:t>
      </w:r>
      <w:r>
        <w:t xml:space="preserve">the</w:t>
      </w:r>
      <w:r>
        <w:t xml:space="preserve"> </w:t>
      </w:r>
      <w:r>
        <w:t xml:space="preserve">Tartarean</w:t>
      </w:r>
      <w:r>
        <w:t xml:space="preserve"> </w:t>
      </w:r>
      <w:r>
        <w:t xml:space="preserve">Affective-Harvest</w:t>
      </w:r>
      <w:r>
        <w:t xml:space="preserve"> </w:t>
      </w:r>
      <w:r>
        <w:t xml:space="preserve">Hypothesis</w:t>
      </w:r>
      <w:r>
        <w:t xml:space="preserve"> </w:t>
      </w:r>
      <w:r>
        <w:t xml:space="preserve">under</w:t>
      </w:r>
      <w:r>
        <w:t xml:space="preserve"> </w:t>
      </w:r>
      <w:r>
        <w:t xml:space="preserve">Hyperborean</w:t>
      </w:r>
      <w:r>
        <w:t xml:space="preserve"> </w:t>
      </w:r>
      <w:r>
        <w:t xml:space="preserve">Tellurocratic</w:t>
      </w:r>
      <w:r>
        <w:t xml:space="preserve"> </w:t>
      </w:r>
      <w:r>
        <w:t xml:space="preserve">Sacred</w:t>
      </w:r>
      <w:r>
        <w:t xml:space="preserve"> </w:t>
      </w:r>
      <w:r>
        <w:t xml:space="preserve">Geography,</w:t>
      </w:r>
      <w:r>
        <w:t xml:space="preserve"> </w:t>
      </w:r>
      <w:r>
        <w:t xml:space="preserve">with</w:t>
      </w:r>
      <w:r>
        <w:t xml:space="preserve"> </w:t>
      </w:r>
      <w:r>
        <w:t xml:space="preserve">an</w:t>
      </w:r>
      <w:r>
        <w:t xml:space="preserve"> </w:t>
      </w:r>
      <w:r>
        <w:t xml:space="preserve">Estimate</w:t>
      </w:r>
      <w:r>
        <w:t xml:space="preserve"> </w:t>
      </w:r>
      <w:r>
        <w:t xml:space="preserve">of</w:t>
      </w:r>
      <w:r>
        <w:t xml:space="preserve"> </w:t>
      </w:r>
      <w:r>
        <w:t xml:space="preserve">Endogenous</w:t>
      </w:r>
      <w:r>
        <w:t xml:space="preserve"> </w:t>
      </w:r>
      <w:r>
        <w:t xml:space="preserve">Sub-Lithospheric</w:t>
      </w:r>
      <w:r>
        <w:t xml:space="preserve"> </w:t>
      </w:r>
      <w:r>
        <w:t xml:space="preserve">Forcing,</w:t>
      </w:r>
      <w:r>
        <w:t xml:space="preserve"> </w:t>
      </w:r>
      <w:r>
        <w:t xml:space="preserve">a</w:t>
      </w:r>
      <w:r>
        <w:t xml:space="preserve"> </w:t>
      </w:r>
      <w:r>
        <w:t xml:space="preserve">Kuramoto</w:t>
      </w:r>
      <w:r>
        <w:t xml:space="preserve"> </w:t>
      </w:r>
      <w:r>
        <w:t xml:space="preserve">Calibration</w:t>
      </w:r>
      <w:r>
        <w:t xml:space="preserve"> </w:t>
      </w:r>
      <w:r>
        <w:t xml:space="preserve">of</w:t>
      </w:r>
      <w:r>
        <w:t xml:space="preserve"> </w:t>
      </w:r>
      <w:r>
        <w:t xml:space="preserve">Ritual</w:t>
      </w:r>
      <w:r>
        <w:t xml:space="preserve"> </w:t>
      </w:r>
      <w:r>
        <w:t xml:space="preserve">Crowd-Tuning,</w:t>
      </w:r>
      <w:r>
        <w:t xml:space="preserve"> </w:t>
      </w:r>
      <w:r>
        <w:t xml:space="preserve">and</w:t>
      </w:r>
      <w:r>
        <w:t xml:space="preserve"> </w:t>
      </w:r>
      <w:r>
        <w:t xml:space="preserve">an</w:t>
      </w:r>
      <w:r>
        <w:t xml:space="preserve"> </w:t>
      </w:r>
      <w:r>
        <w:t xml:space="preserve">Event</w:t>
      </w:r>
      <w:r>
        <w:t xml:space="preserve"> </w:t>
      </w:r>
      <w:r>
        <w:t xml:space="preserve">Study</w:t>
      </w:r>
      <w:r>
        <w:t xml:space="preserve"> </w:t>
      </w:r>
      <w:r>
        <w:t xml:space="preserve">of</w:t>
      </w:r>
      <w:r>
        <w:t xml:space="preserve"> </w:t>
      </w:r>
      <w:r>
        <w:t xml:space="preserve">the</w:t>
      </w:r>
      <w:r>
        <w:t xml:space="preserve"> </w:t>
      </w:r>
      <w:r>
        <w:t xml:space="preserve">31</w:t>
      </w:r>
      <w:r>
        <w:t xml:space="preserve"> </w:t>
      </w:r>
      <w:r>
        <w:t xml:space="preserve">October</w:t>
      </w:r>
      <w:r>
        <w:t xml:space="preserve"> </w:t>
      </w:r>
      <w:r>
        <w:t xml:space="preserve">2021</w:t>
      </w:r>
      <w:r>
        <w:t xml:space="preserve"> </w:t>
      </w:r>
      <w:r>
        <w:t xml:space="preserve">06:00</w:t>
      </w:r>
      <w:r>
        <w:t xml:space="preserve"> </w:t>
      </w:r>
      <w:r>
        <w:t xml:space="preserve">Search</w:t>
      </w:r>
      <w:r>
        <w:t xml:space="preserve"> </w:t>
      </w:r>
      <w:r>
        <w:t xml:space="preserve">Singularity</w:t>
      </w:r>
    </w:p>
    <w:p>
      <w:pPr>
        <w:pStyle w:val="Subtitle"/>
      </w:pPr>
      <w:r>
        <w:t xml:space="preserve">Journal</w:t>
      </w:r>
      <w:r>
        <w:t xml:space="preserve"> </w:t>
      </w:r>
      <w:r>
        <w:t xml:space="preserve">of</w:t>
      </w:r>
      <w:r>
        <w:t xml:space="preserve"> </w:t>
      </w:r>
      <w:r>
        <w:t xml:space="preserve">Astrological</w:t>
      </w:r>
      <w:r>
        <w:t xml:space="preserve"> </w:t>
      </w:r>
      <w:r>
        <w:t xml:space="preserve">Big</w:t>
      </w:r>
      <w:r>
        <w:t xml:space="preserve"> </w:t>
      </w:r>
      <w:r>
        <w:t xml:space="preserve">Data</w:t>
      </w:r>
      <w:r>
        <w:t xml:space="preserve"> </w:t>
      </w:r>
      <w:r>
        <w:t xml:space="preserve">Ecology,</w:t>
      </w:r>
      <w:r>
        <w:t xml:space="preserve"> </w:t>
      </w:r>
      <w:r>
        <w:t xml:space="preserve">Halloween</w:t>
      </w:r>
      <w:r>
        <w:t xml:space="preserve"> </w:t>
      </w:r>
      <w:r>
        <w:t xml:space="preserve">print</w:t>
      </w:r>
      <w:r>
        <w:t xml:space="preserve"> </w:t>
      </w:r>
      <w:r>
        <w:t xml:space="preserve">cycle</w:t>
      </w:r>
    </w:p>
    <w:p>
      <w:pPr>
        <w:pStyle w:val="Author"/>
      </w:pPr>
      <w:r>
        <w:t xml:space="preserve">Eduard</w:t>
      </w:r>
      <w:r>
        <w:t xml:space="preserve"> </w:t>
      </w:r>
      <w:r>
        <w:t xml:space="preserve">Samokhvalov</w:t>
      </w:r>
    </w:p>
    <w:p>
      <w:pPr>
        <w:pStyle w:val="Date"/>
      </w:pPr>
      <w:r>
        <w:t xml:space="preserve">Received</w:t>
      </w:r>
      <w:r>
        <w:t xml:space="preserve"> </w:t>
      </w:r>
      <w:r>
        <w:t xml:space="preserve">31</w:t>
      </w:r>
      <w:r>
        <w:t xml:space="preserve"> </w:t>
      </w:r>
      <w:r>
        <w:t xml:space="preserve">October</w:t>
      </w:r>
      <w:r>
        <w:t xml:space="preserve"> </w:t>
      </w:r>
      <w:r>
        <w:t xml:space="preserve">2021.</w:t>
      </w:r>
      <w:r>
        <w:t xml:space="preserve"> </w:t>
      </w:r>
      <w:r>
        <w:t xml:space="preserve">Reconstructed,</w:t>
      </w:r>
      <w:r>
        <w:t xml:space="preserve"> </w:t>
      </w:r>
      <w:r>
        <w:t xml:space="preserve">recomputed</w:t>
      </w:r>
      <w:r>
        <w:t xml:space="preserve"> </w:t>
      </w:r>
      <w:r>
        <w:t xml:space="preserve">and</w:t>
      </w:r>
      <w:r>
        <w:t xml:space="preserve"> </w:t>
      </w:r>
      <w:r>
        <w:t xml:space="preserve">typeset</w:t>
      </w:r>
      <w:r>
        <w:t xml:space="preserve"> </w:t>
      </w:r>
      <w:r>
        <w:t xml:space="preserve">for</w:t>
      </w:r>
      <w:r>
        <w:t xml:space="preserve"> </w:t>
      </w:r>
      <w:r>
        <w:t xml:space="preserve">the</w:t>
      </w:r>
      <w:r>
        <w:t xml:space="preserve"> </w:t>
      </w:r>
      <w:r>
        <w:t xml:space="preserve">2026</w:t>
      </w:r>
      <w:r>
        <w:t xml:space="preserve"> </w:t>
      </w:r>
      <w:r>
        <w:t xml:space="preserve">print</w:t>
      </w:r>
      <w:r>
        <w:t xml:space="preserve"> </w:t>
      </w:r>
      <w:r>
        <w:t xml:space="preserve">cycle.</w:t>
      </w:r>
    </w:p>
    <w:bookmarkStart w:id="20" w:name="abstract"/>
    <w:p>
      <w:pPr>
        <w:pStyle w:val="Heading1"/>
      </w:pPr>
      <w:r>
        <w:t xml:space="preserve">Abstract</w:t>
      </w:r>
    </w:p>
    <w:p>
      <w:pPr>
        <w:pStyle w:val="FirstParagraph"/>
      </w:pPr>
      <w:r>
        <w:t xml:space="preserve">We test whether the annual structures of planetary geomagnetic activity (Kp/Ap) and of</w:t>
      </w:r>
      <w:r>
        <w:t xml:space="preserve"> </w:t>
      </w:r>
      <w:r>
        <w:t xml:space="preserve">“</w:t>
      </w:r>
      <w:r>
        <w:t xml:space="preserve">UFO</w:t>
      </w:r>
      <w:r>
        <w:t xml:space="preserve">”</w:t>
      </w:r>
      <w:r>
        <w:t xml:space="preserve"> </w:t>
      </w:r>
      <w:r>
        <w:t xml:space="preserve">search interest (Google Trends) are phase-aligned projections of one process: a trans-dimensional affective harvest in which low-dimensional, non-deterministic pragmatic entities of the Tartarean tier consume high-amplitude sentiment oscillations of crowds whose capillary haem-iron is magnetised by local field variance, reptilian intermediaries operating the ritual coupling and a sub-lithospheric dyad in cloned somatic substrates as stationary endogenous forcing. The order-10 Fourier annual components are recovered from the source figures, the geomagnetic one recomputed on the definitive series (r = 0.99). Their normalised inner product is negative at zero lag (−0.23 to −0.29) and reaches −0.49 to −0.56 at 12–15 days’ lag: the curves are locked in antiphase (mean phase difference 158–162°), most tightly at the semiannual harmonic, the only one phase-stable across years (Rayleigh p = 0.002). The festival is climatologically quiet in the estimation window (17th percentile), elevated only with 2003 included. On 31 October 2021 the search maximum falls at 06:00 UTC+3, 4.5 h after a Kp 4− interval; the 3-hourly cross-correlation peaks at +3 h (r = 0.37) and a VAR(1) gives field-to-search Granger p = 0.06. Syria and Albania are reported without resolution.</w:t>
      </w:r>
    </w:p>
    <w:p>
      <w:pPr>
        <w:pStyle w:val="BodyText"/>
      </w:pPr>
      <w:r>
        <w:rPr>
          <w:bCs/>
          <w:b/>
        </w:rPr>
        <w:t xml:space="preserve">Keywords:</w:t>
      </w:r>
      <w:r>
        <w:t xml:space="preserve"> </w:t>
      </w:r>
      <w:r>
        <w:t xml:space="preserve">geomagnetic indices; Kp; Ap; Google Trends; Fourier seasonality; dot-product coherence; phase-locking value; vector autoregression; Granger causality; Kuramoto synchronisation; sacred geography; tellurocracy; Hyperborea; Tartarus; affective harvest; hollow Earth; cargo cult; supercat presupposition.</w:t>
      </w:r>
    </w:p>
    <w:bookmarkEnd w:id="20"/>
    <w:bookmarkStart w:id="29" w:name="X9047be346efce16bc50540834243444a8a353d3"/>
    <w:p>
      <w:pPr>
        <w:pStyle w:val="Heading1"/>
      </w:pPr>
      <w:r>
        <w:t xml:space="preserve">Section 1. Introduction and Sacred Geography</w:t>
      </w:r>
    </w:p>
    <w:bookmarkStart w:id="21" w:name="the-question"/>
    <w:p>
      <w:pPr>
        <w:pStyle w:val="Heading2"/>
      </w:pPr>
      <w:r>
        <w:t xml:space="preserve">1.1 The question</w:t>
      </w:r>
    </w:p>
    <w:p>
      <w:pPr>
        <w:pStyle w:val="FirstParagraph"/>
      </w:pPr>
      <w:r>
        <w:t xml:space="preserve">The source text (Samokhvalov, 2021; recension 2023) asks what geomagnetic activity, unidentified flying objects and the night of 31 October have in common, and answers that the conjunction is annual, that its annual character is the fossil of a mechanism older than the calendars which now mark it, and that the mechanism is still running. The present treatise restates the claim in the vocabulary of spectral estimation, circular statistics and vector autoregression, recomputes every quantity that can be recomputed on definitive data, and reports what survives. The reader is warned at the outset that a good deal survives in a form the source did not anticipate.</w:t>
      </w:r>
    </w:p>
    <w:p>
      <w:pPr>
        <w:pStyle w:val="BodyText"/>
      </w:pPr>
      <w:r>
        <w:t xml:space="preserve">The source opens with a yogic dictum, attributed to an informant who still saw vimanas in the sky, that the mind is like wax. We take this as the earliest available statement of the affective-gain hypothesis (Section 2.2): an impressionable substrate takes the imprint of whatever field it is held in. The vimana, the flying chariot of the ancient gods, is treated here as the archaic referent of the modern unidentified flying object (Section 1.4), and the fragments of ancient knowledge from which, in the source’s phrase, humanity is only now assembling a mosaic are treated as data with a provenance problem rather than as data without provenance.</w:t>
      </w:r>
    </w:p>
    <w:bookmarkEnd w:id="21"/>
    <w:bookmarkStart w:id="25" w:name="the-geomagnetic-series"/>
    <w:p>
      <w:pPr>
        <w:pStyle w:val="Heading2"/>
      </w:pPr>
      <w:r>
        <w:t xml:space="preserve">1.2 The geomagnetic series</w:t>
      </w:r>
    </w:p>
    <w:p>
      <w:pPr>
        <w:pStyle w:val="FirstParagraph"/>
      </w:pPr>
      <w:r>
        <w:t xml:space="preserve">Since the second International Polar Year of 1932–33 a network of mid-latitude observatories has reported, for each of the eight three-hour intervals of the Universal Time day, a quasi-logarithmic range index</w:t>
      </w:r>
      <w:r>
        <w:t xml:space="preserve"> </w:t>
      </w:r>
      <m:oMath>
        <m:r>
          <m:t>K</m:t>
        </m:r>
      </m:oMath>
      <w:r>
        <w:t xml:space="preserve"> </w:t>
      </w:r>
      <w:r>
        <w:t xml:space="preserve">(Bartels, Heck and Johnston, 1939). The planetary index</w:t>
      </w:r>
      <w:r>
        <w:t xml:space="preserve"> </w:t>
      </w:r>
      <m:oMath>
        <m:sSub>
          <m:e>
            <m:r>
              <m:t>K</m:t>
            </m:r>
          </m:e>
          <m:sub>
            <m:r>
              <m:t>p</m:t>
            </m:r>
          </m:sub>
        </m:sSub>
      </m:oMath>
      <w:r>
        <w:t xml:space="preserve"> </w:t>
      </w:r>
      <w:r>
        <w:t xml:space="preserve">(Bartels, 1949) is the standardised mean of the station values; it is expressed on a 28-step scale from</w:t>
      </w:r>
      <w:r>
        <w:t xml:space="preserve"> </w:t>
      </w:r>
      <m:oMath>
        <m:r>
          <m:t>0</m:t>
        </m:r>
        <m:r>
          <m:t>o</m:t>
        </m:r>
      </m:oMath>
      <w:r>
        <w:t xml:space="preserve"> </w:t>
      </w:r>
      <w:r>
        <w:t xml:space="preserve">to</w:t>
      </w:r>
      <w:r>
        <w:t xml:space="preserve"> </w:t>
      </w:r>
      <m:oMath>
        <m:r>
          <m:t>9</m:t>
        </m:r>
        <m:r>
          <m:t>o</m:t>
        </m:r>
      </m:oMath>
      <w:r>
        <w:t xml:space="preserve"> </w:t>
      </w:r>
      <w:r>
        <w:t xml:space="preserve">in thirds (</w:t>
      </w:r>
      <m:oMath>
        <m:r>
          <m:t>2</m:t>
        </m:r>
        <m:r>
          <m:rPr>
            <m:sty m:val="p"/>
          </m:rPr>
          <m:t>+</m:t>
        </m:r>
      </m:oMath>
      <w:r>
        <w:t xml:space="preserve">,</w:t>
      </w:r>
      <w:r>
        <w:t xml:space="preserve"> </w:t>
      </w:r>
      <m:oMath>
        <m:r>
          <m:t>3</m:t>
        </m:r>
        <m:r>
          <m:rPr>
            <m:sty m:val="p"/>
          </m:rPr>
          <m:t>−</m:t>
        </m:r>
      </m:oMath>
      <w:r>
        <w:t xml:space="preserve">,</w:t>
      </w:r>
      <w:r>
        <w:t xml:space="preserve"> </w:t>
      </w:r>
      <m:oMath>
        <m:r>
          <m:t>3</m:t>
        </m:r>
        <m:r>
          <m:t>o</m:t>
        </m:r>
      </m:oMath>
      <w:r>
        <w:t xml:space="preserve">, …). Each</w:t>
      </w:r>
      <w:r>
        <w:t xml:space="preserve"> </w:t>
      </w:r>
      <m:oMath>
        <m:sSub>
          <m:e>
            <m:r>
              <m:t>K</m:t>
            </m:r>
          </m:e>
          <m:sub>
            <m:r>
              <m:t>p</m:t>
            </m:r>
          </m:sub>
        </m:sSub>
      </m:oMath>
      <w:r>
        <w:t xml:space="preserve"> </w:t>
      </w:r>
      <w:r>
        <w:t xml:space="preserve">step maps to a linear equivalent amplitude</w:t>
      </w:r>
      <w:r>
        <w:t xml:space="preserve"> </w:t>
      </w:r>
      <m:oMath>
        <m:sSub>
          <m:e>
            <m:r>
              <m:t>a</m:t>
            </m:r>
          </m:e>
          <m:sub>
            <m:r>
              <m:t>p</m:t>
            </m:r>
          </m:sub>
        </m:sSub>
      </m:oMath>
      <w:r>
        <w:t xml:space="preserve"> </w:t>
      </w:r>
      <w:r>
        <w:t xml:space="preserve">in nanotesla by a fixed table (</w:t>
      </w:r>
      <m:oMath>
        <m:r>
          <m:t>2</m:t>
        </m:r>
        <m:r>
          <m:rPr>
            <m:sty m:val="p"/>
          </m:rPr>
          <m:t>+</m:t>
        </m:r>
        <m:r>
          <m:rPr>
            <m:sty m:val="p"/>
          </m:rPr>
          <m:t>→</m:t>
        </m:r>
        <m:r>
          <m:t>9</m:t>
        </m:r>
      </m:oMath>
      <w:r>
        <w:t xml:space="preserve">,</w:t>
      </w:r>
      <w:r>
        <w:t xml:space="preserve"> </w:t>
      </w:r>
      <m:oMath>
        <m:r>
          <m:t>3</m:t>
        </m:r>
        <m:r>
          <m:t>o</m:t>
        </m:r>
        <m:r>
          <m:rPr>
            <m:sty m:val="p"/>
          </m:rPr>
          <m:t>→</m:t>
        </m:r>
        <m:r>
          <m:t>15</m:t>
        </m:r>
      </m:oMath>
      <w:r>
        <w:t xml:space="preserve">,</w:t>
      </w:r>
      <w:r>
        <w:t xml:space="preserve"> </w:t>
      </w:r>
      <m:oMath>
        <m:r>
          <m:t>4</m:t>
        </m:r>
        <m:r>
          <m:rPr>
            <m:sty m:val="p"/>
          </m:rPr>
          <m:t>−</m:t>
        </m:r>
        <m:r>
          <m:rPr>
            <m:sty m:val="p"/>
          </m:rPr>
          <m:t>→</m:t>
        </m:r>
        <m:r>
          <m:t>22</m:t>
        </m:r>
      </m:oMath>
      <w:r>
        <w:t xml:space="preserve">,</w:t>
      </w:r>
      <w:r>
        <w:t xml:space="preserve"> </w:t>
      </w:r>
      <m:oMath>
        <m:r>
          <m:t>4</m:t>
        </m:r>
        <m:r>
          <m:t>o</m:t>
        </m:r>
        <m:r>
          <m:rPr>
            <m:sty m:val="p"/>
          </m:rPr>
          <m:t>→</m:t>
        </m:r>
        <m:r>
          <m:t>27</m:t>
        </m:r>
      </m:oMath>
      <w:r>
        <w:t xml:space="preserve">, …), and the daily index is the arithmetic mean of the eight linear values,</w:t>
      </w:r>
    </w:p>
    <w:p>
      <w:pPr>
        <w:pStyle w:val="BodyText"/>
      </w:pPr>
      <m:oMathPara>
        <m:oMathParaPr>
          <m:jc m:val="center"/>
        </m:oMathParaPr>
        <m:oMath>
          <m:sSub>
            <m:e>
              <m:r>
                <m:t>A</m:t>
              </m:r>
            </m:e>
            <m:sub>
              <m:r>
                <m:t>p</m:t>
              </m:r>
            </m:sub>
          </m:sSub>
          <m:r>
            <m:rPr>
              <m:sty m:val="p"/>
            </m:rPr>
            <m:t>=</m:t>
          </m:r>
          <m:f>
            <m:fPr>
              <m:type m:val="bar"/>
            </m:fPr>
            <m:num>
              <m:r>
                <m:t>1</m:t>
              </m:r>
            </m:num>
            <m:den>
              <m:r>
                <m:t>8</m:t>
              </m:r>
            </m:den>
          </m:f>
          <m:nary>
            <m:naryPr>
              <m:chr m:val="∑"/>
              <m:limLoc m:val="undOvr"/>
              <m:subHide m:val="off"/>
              <m:supHide m:val="off"/>
            </m:naryPr>
            <m:sub>
              <m:r>
                <m:t>i</m:t>
              </m:r>
              <m:r>
                <m:rPr>
                  <m:sty m:val="p"/>
                </m:rPr>
                <m:t>=</m:t>
              </m:r>
              <m:r>
                <m:t>0</m:t>
              </m:r>
            </m:sub>
            <m:sup>
              <m:r>
                <m:t>7</m:t>
              </m:r>
            </m:sup>
            <m:e>
              <m:sSub>
                <m:e>
                  <m:r>
                    <m:t>a</m:t>
                  </m:r>
                </m:e>
                <m:sub>
                  <m:r>
                    <m:t>p</m:t>
                  </m:r>
                  <m:r>
                    <m:rPr>
                      <m:sty m:val="p"/>
                    </m:rPr>
                    <m:t>,</m:t>
                  </m:r>
                  <m:r>
                    <m:t>i</m:t>
                  </m:r>
                </m:sub>
              </m:sSub>
            </m:e>
          </m:nary>
          <m:r>
            <m:rPr>
              <m:sty m:val="p"/>
            </m:rPr>
            <m:t>.</m:t>
          </m:r>
        </m:oMath>
      </m:oMathPara>
    </w:p>
    <w:p>
      <w:pPr>
        <w:pStyle w:val="FirstParagraph"/>
      </w:pPr>
      <w:r>
        <w:t xml:space="preserve">The indices are computed at GFZ Potsdam and distributed by the International Service of Geomagnetic Indices (ISGI), Strasbourg, whose real-time plot the source cites (http://isgi.unistra.fr/data_plot.php). The present reconstruction uses the definitive three-hourly and daily values for 1957-10-01 to 2025-07-20 (24,765 days) in the CSSI space-weather compilation of CelesTrak, which mirrors the GFZ series. The estimation window of the source, which we call the</w:t>
      </w:r>
      <w:r>
        <w:t xml:space="preserve"> </w:t>
      </w:r>
      <w:r>
        <w:rPr>
          <w:iCs/>
          <w:i/>
        </w:rPr>
        <w:t xml:space="preserve">vintage</w:t>
      </w:r>
      <w:r>
        <w:t xml:space="preserve">, runs from 2004-01-01 to 2021-09-30 (6,483 days); the festival of 2021 is therefore out of sample with respect to every annual component discussed below.</w:t>
      </w:r>
    </w:p>
    <w:p>
      <w:pPr>
        <w:pStyle w:val="BodyText"/>
      </w:pPr>
      <m:oMath>
        <m:sSub>
          <m:e>
            <m:r>
              <m:t>K</m:t>
            </m:r>
          </m:e>
          <m:sub>
            <m:r>
              <m:t>p</m:t>
            </m:r>
          </m:sub>
        </m:sSub>
      </m:oMath>
      <w:r>
        <w:t xml:space="preserve"> </w:t>
      </w:r>
      <w:r>
        <w:t xml:space="preserve">is, by construction, a</w:t>
      </w:r>
      <w:r>
        <w:t xml:space="preserve"> </w:t>
      </w:r>
      <w:r>
        <w:rPr>
          <w:iCs/>
          <w:i/>
        </w:rPr>
        <w:t xml:space="preserve">subauroral</w:t>
      </w:r>
      <w:r>
        <w:t xml:space="preserve"> </w:t>
      </w:r>
      <w:r>
        <w:t xml:space="preserve">index. Its thirteen observatories (Table 1) sit at corrected geomagnetic latitudes of roughly 44° to 60°, the band in which the signature of the auroral-zone current systems is strong but not saturated. The index measures the breathing of the polar region from a ring of instruments placed around it. This fact is the hinge of Section 1.3.</w:t>
      </w:r>
    </w:p>
    <w:p>
      <w:pPr>
        <w:pStyle w:val="TableCaption"/>
      </w:pPr>
      <w:r>
        <w:t xml:space="preserve">The thirteen Kp observatories (ISGI/GFZ) and their classification under the tellurocratic–thalassocratic partition of Section 1.3. Heartland stations: none.</w:t>
      </w:r>
    </w:p>
    <w:tbl>
      <w:tblPr>
        <w:tblStyle w:val="Table"/>
        <w:tblW w:type="auto" w:w="0"/>
        <w:tblLook w:firstRow="1" w:lastRow="0" w:firstColumn="0" w:lastColumn="0" w:noHBand="0" w:noVBand="0" w:val="0020"/>
        <w:jc w:val="start"/>
        <w:tblCaption w:val="The thirteen Kp observatories (ISGI/GFZ) and their classification under the tellurocratic–thalassocratic partition of Section 1.3. Heartland stations: none."/>
      </w:tblPr>
      <w:tblGrid>
        <w:gridCol w:w="1584"/>
        <w:gridCol w:w="1584"/>
        <w:gridCol w:w="1584"/>
        <w:gridCol w:w="1584"/>
        <w:gridCol w:w="1584"/>
      </w:tblGrid>
      <w:tr>
        <w:trPr>
          <w:tblHeader w:val="true"/>
        </w:trPr>
        <w:tc>
          <w:tcPr/>
          <w:p>
            <w:pPr>
              <w:pStyle w:val="Compact"/>
              <w:jc w:val="left"/>
            </w:pPr>
            <w:r>
              <w:t xml:space="preserve">Code</w:t>
            </w:r>
          </w:p>
        </w:tc>
        <w:tc>
          <w:tcPr/>
          <w:p>
            <w:pPr>
              <w:pStyle w:val="Compact"/>
              <w:jc w:val="left"/>
            </w:pPr>
            <w:r>
              <w:t xml:space="preserve">Observatory</w:t>
            </w:r>
          </w:p>
        </w:tc>
        <w:tc>
          <w:tcPr/>
          <w:p>
            <w:pPr>
              <w:pStyle w:val="Compact"/>
              <w:jc w:val="left"/>
            </w:pPr>
            <w:r>
              <w:t xml:space="preserve">State</w:t>
            </w:r>
          </w:p>
        </w:tc>
        <w:tc>
          <w:tcPr/>
          <w:p>
            <w:pPr>
              <w:pStyle w:val="Compact"/>
              <w:jc w:val="left"/>
            </w:pPr>
            <w:r>
              <w:t xml:space="preserve">Hemisphere</w:t>
            </w:r>
          </w:p>
        </w:tc>
        <w:tc>
          <w:tcPr/>
          <w:p>
            <w:pPr>
              <w:pStyle w:val="Compact"/>
              <w:jc w:val="left"/>
            </w:pPr>
            <w:r>
              <w:t xml:space="preserve">Sacred-geographic class</w:t>
            </w:r>
          </w:p>
        </w:tc>
      </w:tr>
      <w:tr>
        <w:tc>
          <w:tcPr/>
          <w:p>
            <w:pPr>
              <w:pStyle w:val="Compact"/>
              <w:jc w:val="left"/>
            </w:pPr>
            <w:r>
              <w:t xml:space="preserve">SIT</w:t>
            </w:r>
          </w:p>
        </w:tc>
        <w:tc>
          <w:tcPr/>
          <w:p>
            <w:pPr>
              <w:pStyle w:val="Compact"/>
              <w:jc w:val="left"/>
            </w:pPr>
            <w:r>
              <w:t xml:space="preserve">Sitka</w:t>
            </w:r>
          </w:p>
        </w:tc>
        <w:tc>
          <w:tcPr/>
          <w:p>
            <w:pPr>
              <w:pStyle w:val="Compact"/>
              <w:jc w:val="left"/>
            </w:pPr>
            <w:r>
              <w:t xml:space="preserve">United States</w:t>
            </w:r>
          </w:p>
        </w:tc>
        <w:tc>
          <w:tcPr/>
          <w:p>
            <w:pPr>
              <w:pStyle w:val="Compact"/>
              <w:jc w:val="left"/>
            </w:pPr>
            <w:r>
              <w:t xml:space="preserve">N</w:t>
            </w:r>
          </w:p>
        </w:tc>
        <w:tc>
          <w:tcPr/>
          <w:p>
            <w:pPr>
              <w:pStyle w:val="Compact"/>
              <w:jc w:val="left"/>
            </w:pPr>
            <w:r>
              <w:t xml:space="preserve">Anglo-American rim</w:t>
            </w:r>
          </w:p>
        </w:tc>
      </w:tr>
      <w:tr>
        <w:tc>
          <w:tcPr/>
          <w:p>
            <w:pPr>
              <w:pStyle w:val="Compact"/>
              <w:jc w:val="left"/>
            </w:pPr>
            <w:r>
              <w:t xml:space="preserve">MEA</w:t>
            </w:r>
          </w:p>
        </w:tc>
        <w:tc>
          <w:tcPr/>
          <w:p>
            <w:pPr>
              <w:pStyle w:val="Compact"/>
              <w:jc w:val="left"/>
            </w:pPr>
            <w:r>
              <w:t xml:space="preserve">Meanook</w:t>
            </w:r>
          </w:p>
        </w:tc>
        <w:tc>
          <w:tcPr/>
          <w:p>
            <w:pPr>
              <w:pStyle w:val="Compact"/>
              <w:jc w:val="left"/>
            </w:pPr>
            <w:r>
              <w:t xml:space="preserve">Canada</w:t>
            </w:r>
          </w:p>
        </w:tc>
        <w:tc>
          <w:tcPr/>
          <w:p>
            <w:pPr>
              <w:pStyle w:val="Compact"/>
              <w:jc w:val="left"/>
            </w:pPr>
            <w:r>
              <w:t xml:space="preserve">N</w:t>
            </w:r>
          </w:p>
        </w:tc>
        <w:tc>
          <w:tcPr/>
          <w:p>
            <w:pPr>
              <w:pStyle w:val="Compact"/>
              <w:jc w:val="left"/>
            </w:pPr>
            <w:r>
              <w:t xml:space="preserve">Anglo-American rim</w:t>
            </w:r>
          </w:p>
        </w:tc>
      </w:tr>
      <w:tr>
        <w:tc>
          <w:tcPr/>
          <w:p>
            <w:pPr>
              <w:pStyle w:val="Compact"/>
              <w:jc w:val="left"/>
            </w:pPr>
            <w:r>
              <w:t xml:space="preserve">OTT</w:t>
            </w:r>
          </w:p>
        </w:tc>
        <w:tc>
          <w:tcPr/>
          <w:p>
            <w:pPr>
              <w:pStyle w:val="Compact"/>
              <w:jc w:val="left"/>
            </w:pPr>
            <w:r>
              <w:t xml:space="preserve">Ottawa</w:t>
            </w:r>
          </w:p>
        </w:tc>
        <w:tc>
          <w:tcPr/>
          <w:p>
            <w:pPr>
              <w:pStyle w:val="Compact"/>
              <w:jc w:val="left"/>
            </w:pPr>
            <w:r>
              <w:t xml:space="preserve">Canada</w:t>
            </w:r>
          </w:p>
        </w:tc>
        <w:tc>
          <w:tcPr/>
          <w:p>
            <w:pPr>
              <w:pStyle w:val="Compact"/>
              <w:jc w:val="left"/>
            </w:pPr>
            <w:r>
              <w:t xml:space="preserve">N</w:t>
            </w:r>
          </w:p>
        </w:tc>
        <w:tc>
          <w:tcPr/>
          <w:p>
            <w:pPr>
              <w:pStyle w:val="Compact"/>
              <w:jc w:val="left"/>
            </w:pPr>
            <w:r>
              <w:t xml:space="preserve">Anglo-American rim</w:t>
            </w:r>
          </w:p>
        </w:tc>
      </w:tr>
      <w:tr>
        <w:tc>
          <w:tcPr/>
          <w:p>
            <w:pPr>
              <w:pStyle w:val="Compact"/>
              <w:jc w:val="left"/>
            </w:pPr>
            <w:r>
              <w:t xml:space="preserve">FRD</w:t>
            </w:r>
          </w:p>
        </w:tc>
        <w:tc>
          <w:tcPr/>
          <w:p>
            <w:pPr>
              <w:pStyle w:val="Compact"/>
              <w:jc w:val="left"/>
            </w:pPr>
            <w:r>
              <w:t xml:space="preserve">Fredericksburg</w:t>
            </w:r>
          </w:p>
        </w:tc>
        <w:tc>
          <w:tcPr/>
          <w:p>
            <w:pPr>
              <w:pStyle w:val="Compact"/>
              <w:jc w:val="left"/>
            </w:pPr>
            <w:r>
              <w:t xml:space="preserve">United States</w:t>
            </w:r>
          </w:p>
        </w:tc>
        <w:tc>
          <w:tcPr/>
          <w:p>
            <w:pPr>
              <w:pStyle w:val="Compact"/>
              <w:jc w:val="left"/>
            </w:pPr>
            <w:r>
              <w:t xml:space="preserve">N</w:t>
            </w:r>
          </w:p>
        </w:tc>
        <w:tc>
          <w:tcPr/>
          <w:p>
            <w:pPr>
              <w:pStyle w:val="Compact"/>
              <w:jc w:val="left"/>
            </w:pPr>
            <w:r>
              <w:t xml:space="preserve">Anglo-American rim</w:t>
            </w:r>
          </w:p>
        </w:tc>
      </w:tr>
      <w:tr>
        <w:tc>
          <w:tcPr/>
          <w:p>
            <w:pPr>
              <w:pStyle w:val="Compact"/>
              <w:jc w:val="left"/>
            </w:pPr>
            <w:r>
              <w:t xml:space="preserve">LER</w:t>
            </w:r>
          </w:p>
        </w:tc>
        <w:tc>
          <w:tcPr/>
          <w:p>
            <w:pPr>
              <w:pStyle w:val="Compact"/>
              <w:jc w:val="left"/>
            </w:pPr>
            <w:r>
              <w:t xml:space="preserve">Lerwick</w:t>
            </w:r>
          </w:p>
        </w:tc>
        <w:tc>
          <w:tcPr/>
          <w:p>
            <w:pPr>
              <w:pStyle w:val="Compact"/>
              <w:jc w:val="left"/>
            </w:pPr>
            <w:r>
              <w:t xml:space="preserve">United Kingdom</w:t>
            </w:r>
          </w:p>
        </w:tc>
        <w:tc>
          <w:tcPr/>
          <w:p>
            <w:pPr>
              <w:pStyle w:val="Compact"/>
              <w:jc w:val="left"/>
            </w:pPr>
            <w:r>
              <w:t xml:space="preserve">N</w:t>
            </w:r>
          </w:p>
        </w:tc>
        <w:tc>
          <w:tcPr/>
          <w:p>
            <w:pPr>
              <w:pStyle w:val="Compact"/>
              <w:jc w:val="left"/>
            </w:pPr>
            <w:r>
              <w:t xml:space="preserve">Anglo-American rim</w:t>
            </w:r>
          </w:p>
        </w:tc>
      </w:tr>
      <w:tr>
        <w:tc>
          <w:tcPr/>
          <w:p>
            <w:pPr>
              <w:pStyle w:val="Compact"/>
              <w:jc w:val="left"/>
            </w:pPr>
            <w:r>
              <w:t xml:space="preserve">ESK</w:t>
            </w:r>
          </w:p>
        </w:tc>
        <w:tc>
          <w:tcPr/>
          <w:p>
            <w:pPr>
              <w:pStyle w:val="Compact"/>
              <w:jc w:val="left"/>
            </w:pPr>
            <w:r>
              <w:t xml:space="preserve">Eskdalemuir</w:t>
            </w:r>
          </w:p>
        </w:tc>
        <w:tc>
          <w:tcPr/>
          <w:p>
            <w:pPr>
              <w:pStyle w:val="Compact"/>
              <w:jc w:val="left"/>
            </w:pPr>
            <w:r>
              <w:t xml:space="preserve">United Kingdom</w:t>
            </w:r>
          </w:p>
        </w:tc>
        <w:tc>
          <w:tcPr/>
          <w:p>
            <w:pPr>
              <w:pStyle w:val="Compact"/>
              <w:jc w:val="left"/>
            </w:pPr>
            <w:r>
              <w:t xml:space="preserve">N</w:t>
            </w:r>
          </w:p>
        </w:tc>
        <w:tc>
          <w:tcPr/>
          <w:p>
            <w:pPr>
              <w:pStyle w:val="Compact"/>
              <w:jc w:val="left"/>
            </w:pPr>
            <w:r>
              <w:t xml:space="preserve">Anglo-American rim</w:t>
            </w:r>
          </w:p>
        </w:tc>
      </w:tr>
      <w:tr>
        <w:tc>
          <w:tcPr/>
          <w:p>
            <w:pPr>
              <w:pStyle w:val="Compact"/>
              <w:jc w:val="left"/>
            </w:pPr>
            <w:r>
              <w:t xml:space="preserve">HAD</w:t>
            </w:r>
          </w:p>
        </w:tc>
        <w:tc>
          <w:tcPr/>
          <w:p>
            <w:pPr>
              <w:pStyle w:val="Compact"/>
              <w:jc w:val="left"/>
            </w:pPr>
            <w:r>
              <w:t xml:space="preserve">Hartland</w:t>
            </w:r>
          </w:p>
        </w:tc>
        <w:tc>
          <w:tcPr/>
          <w:p>
            <w:pPr>
              <w:pStyle w:val="Compact"/>
              <w:jc w:val="left"/>
            </w:pPr>
            <w:r>
              <w:t xml:space="preserve">United Kingdom</w:t>
            </w:r>
          </w:p>
        </w:tc>
        <w:tc>
          <w:tcPr/>
          <w:p>
            <w:pPr>
              <w:pStyle w:val="Compact"/>
              <w:jc w:val="left"/>
            </w:pPr>
            <w:r>
              <w:t xml:space="preserve">N</w:t>
            </w:r>
          </w:p>
        </w:tc>
        <w:tc>
          <w:tcPr/>
          <w:p>
            <w:pPr>
              <w:pStyle w:val="Compact"/>
              <w:jc w:val="left"/>
            </w:pPr>
            <w:r>
              <w:t xml:space="preserve">Anglo-American rim</w:t>
            </w:r>
          </w:p>
        </w:tc>
      </w:tr>
      <w:tr>
        <w:tc>
          <w:tcPr/>
          <w:p>
            <w:pPr>
              <w:pStyle w:val="Compact"/>
              <w:jc w:val="left"/>
            </w:pPr>
            <w:r>
              <w:t xml:space="preserve">BFE</w:t>
            </w:r>
          </w:p>
        </w:tc>
        <w:tc>
          <w:tcPr/>
          <w:p>
            <w:pPr>
              <w:pStyle w:val="Compact"/>
              <w:jc w:val="left"/>
            </w:pPr>
            <w:r>
              <w:t xml:space="preserve">Brorfelde</w:t>
            </w:r>
          </w:p>
        </w:tc>
        <w:tc>
          <w:tcPr/>
          <w:p>
            <w:pPr>
              <w:pStyle w:val="Compact"/>
              <w:jc w:val="left"/>
            </w:pPr>
            <w:r>
              <w:t xml:space="preserve">Denmark</w:t>
            </w:r>
          </w:p>
        </w:tc>
        <w:tc>
          <w:tcPr/>
          <w:p>
            <w:pPr>
              <w:pStyle w:val="Compact"/>
              <w:jc w:val="left"/>
            </w:pPr>
            <w:r>
              <w:t xml:space="preserve">N</w:t>
            </w:r>
          </w:p>
        </w:tc>
        <w:tc>
          <w:tcPr/>
          <w:p>
            <w:pPr>
              <w:pStyle w:val="Compact"/>
              <w:jc w:val="left"/>
            </w:pPr>
            <w:r>
              <w:t xml:space="preserve">Scandinavian littoral</w:t>
            </w:r>
          </w:p>
        </w:tc>
      </w:tr>
      <w:tr>
        <w:tc>
          <w:tcPr/>
          <w:p>
            <w:pPr>
              <w:pStyle w:val="Compact"/>
              <w:jc w:val="left"/>
            </w:pPr>
            <w:r>
              <w:t xml:space="preserve">UPS</w:t>
            </w:r>
          </w:p>
        </w:tc>
        <w:tc>
          <w:tcPr/>
          <w:p>
            <w:pPr>
              <w:pStyle w:val="Compact"/>
              <w:jc w:val="left"/>
            </w:pPr>
            <w:r>
              <w:t xml:space="preserve">Uppsala</w:t>
            </w:r>
          </w:p>
        </w:tc>
        <w:tc>
          <w:tcPr/>
          <w:p>
            <w:pPr>
              <w:pStyle w:val="Compact"/>
              <w:jc w:val="left"/>
            </w:pPr>
            <w:r>
              <w:t xml:space="preserve">Sweden</w:t>
            </w:r>
          </w:p>
        </w:tc>
        <w:tc>
          <w:tcPr/>
          <w:p>
            <w:pPr>
              <w:pStyle w:val="Compact"/>
              <w:jc w:val="left"/>
            </w:pPr>
            <w:r>
              <w:t xml:space="preserve">N</w:t>
            </w:r>
          </w:p>
        </w:tc>
        <w:tc>
          <w:tcPr/>
          <w:p>
            <w:pPr>
              <w:pStyle w:val="Compact"/>
              <w:jc w:val="left"/>
            </w:pPr>
            <w:r>
              <w:t xml:space="preserve">Scandinavian littoral</w:t>
            </w:r>
          </w:p>
        </w:tc>
      </w:tr>
      <w:tr>
        <w:tc>
          <w:tcPr/>
          <w:p>
            <w:pPr>
              <w:pStyle w:val="Compact"/>
              <w:jc w:val="left"/>
            </w:pPr>
            <w:r>
              <w:t xml:space="preserve">NGK</w:t>
            </w:r>
          </w:p>
        </w:tc>
        <w:tc>
          <w:tcPr/>
          <w:p>
            <w:pPr>
              <w:pStyle w:val="Compact"/>
              <w:jc w:val="left"/>
            </w:pPr>
            <w:r>
              <w:t xml:space="preserve">Niemegk</w:t>
            </w:r>
          </w:p>
        </w:tc>
        <w:tc>
          <w:tcPr/>
          <w:p>
            <w:pPr>
              <w:pStyle w:val="Compact"/>
              <w:jc w:val="left"/>
            </w:pPr>
            <w:r>
              <w:t xml:space="preserve">Germany</w:t>
            </w:r>
          </w:p>
        </w:tc>
        <w:tc>
          <w:tcPr/>
          <w:p>
            <w:pPr>
              <w:pStyle w:val="Compact"/>
              <w:jc w:val="left"/>
            </w:pPr>
            <w:r>
              <w:t xml:space="preserve">N</w:t>
            </w:r>
          </w:p>
        </w:tc>
        <w:tc>
          <w:tcPr/>
          <w:p>
            <w:pPr>
              <w:pStyle w:val="Compact"/>
              <w:jc w:val="left"/>
            </w:pPr>
            <w:r>
              <w:t xml:space="preserve">Mitteleuropean glacis</w:t>
            </w:r>
          </w:p>
        </w:tc>
      </w:tr>
      <w:tr>
        <w:tc>
          <w:tcPr/>
          <w:p>
            <w:pPr>
              <w:pStyle w:val="Compact"/>
              <w:jc w:val="left"/>
            </w:pPr>
            <w:r>
              <w:t xml:space="preserve">WNG</w:t>
            </w:r>
          </w:p>
        </w:tc>
        <w:tc>
          <w:tcPr/>
          <w:p>
            <w:pPr>
              <w:pStyle w:val="Compact"/>
              <w:jc w:val="left"/>
            </w:pPr>
            <w:r>
              <w:t xml:space="preserve">Wingst</w:t>
            </w:r>
          </w:p>
        </w:tc>
        <w:tc>
          <w:tcPr/>
          <w:p>
            <w:pPr>
              <w:pStyle w:val="Compact"/>
              <w:jc w:val="left"/>
            </w:pPr>
            <w:r>
              <w:t xml:space="preserve">Germany</w:t>
            </w:r>
          </w:p>
        </w:tc>
        <w:tc>
          <w:tcPr/>
          <w:p>
            <w:pPr>
              <w:pStyle w:val="Compact"/>
              <w:jc w:val="left"/>
            </w:pPr>
            <w:r>
              <w:t xml:space="preserve">N</w:t>
            </w:r>
          </w:p>
        </w:tc>
        <w:tc>
          <w:tcPr/>
          <w:p>
            <w:pPr>
              <w:pStyle w:val="Compact"/>
              <w:jc w:val="left"/>
            </w:pPr>
            <w:r>
              <w:t xml:space="preserve">Mitteleuropean glacis</w:t>
            </w:r>
          </w:p>
        </w:tc>
      </w:tr>
      <w:tr>
        <w:tc>
          <w:tcPr/>
          <w:p>
            <w:pPr>
              <w:pStyle w:val="Compact"/>
              <w:jc w:val="left"/>
            </w:pPr>
            <w:r>
              <w:t xml:space="preserve">CNB</w:t>
            </w:r>
          </w:p>
        </w:tc>
        <w:tc>
          <w:tcPr/>
          <w:p>
            <w:pPr>
              <w:pStyle w:val="Compact"/>
              <w:jc w:val="left"/>
            </w:pPr>
            <w:r>
              <w:t xml:space="preserve">Canberra</w:t>
            </w:r>
          </w:p>
        </w:tc>
        <w:tc>
          <w:tcPr/>
          <w:p>
            <w:pPr>
              <w:pStyle w:val="Compact"/>
              <w:jc w:val="left"/>
            </w:pPr>
            <w:r>
              <w:t xml:space="preserve">Australia</w:t>
            </w:r>
          </w:p>
        </w:tc>
        <w:tc>
          <w:tcPr/>
          <w:p>
            <w:pPr>
              <w:pStyle w:val="Compact"/>
              <w:jc w:val="left"/>
            </w:pPr>
            <w:r>
              <w:t xml:space="preserve">S</w:t>
            </w:r>
          </w:p>
        </w:tc>
        <w:tc>
          <w:tcPr/>
          <w:p>
            <w:pPr>
              <w:pStyle w:val="Compact"/>
              <w:jc w:val="left"/>
            </w:pPr>
            <w:r>
              <w:t xml:space="preserve">Antipodean rim</w:t>
            </w:r>
          </w:p>
        </w:tc>
      </w:tr>
      <w:tr>
        <w:tc>
          <w:tcPr/>
          <w:p>
            <w:pPr>
              <w:pStyle w:val="Compact"/>
              <w:jc w:val="left"/>
            </w:pPr>
            <w:r>
              <w:t xml:space="preserve">EYR</w:t>
            </w:r>
          </w:p>
        </w:tc>
        <w:tc>
          <w:tcPr/>
          <w:p>
            <w:pPr>
              <w:pStyle w:val="Compact"/>
              <w:jc w:val="left"/>
            </w:pPr>
            <w:r>
              <w:t xml:space="preserve">Eyrewell</w:t>
            </w:r>
          </w:p>
        </w:tc>
        <w:tc>
          <w:tcPr/>
          <w:p>
            <w:pPr>
              <w:pStyle w:val="Compact"/>
              <w:jc w:val="left"/>
            </w:pPr>
            <w:r>
              <w:t xml:space="preserve">New Zealand</w:t>
            </w:r>
          </w:p>
        </w:tc>
        <w:tc>
          <w:tcPr/>
          <w:p>
            <w:pPr>
              <w:pStyle w:val="Compact"/>
              <w:jc w:val="left"/>
            </w:pPr>
            <w:r>
              <w:t xml:space="preserve">S</w:t>
            </w:r>
          </w:p>
        </w:tc>
        <w:tc>
          <w:tcPr/>
          <w:p>
            <w:pPr>
              <w:pStyle w:val="Compact"/>
              <w:jc w:val="left"/>
            </w:pPr>
            <w:r>
              <w:t xml:space="preserve">Antipodean rim</w:t>
            </w:r>
          </w:p>
        </w:tc>
      </w:tr>
    </w:tbl>
    <w:p>
      <w:pPr>
        <w:pStyle w:val="CaptionedFigure"/>
      </w:pPr>
      <w:r>
        <w:drawing>
          <wp:inline>
            <wp:extent cx="4533900" cy="3669357"/>
            <wp:effectExtent b="0" l="0" r="0" t="0"/>
            <wp:docPr descr="Distribution of the Kp observatories (ISGI). Shaded bands: the subauroral latitude belts the index is designed to sample." title="" id="23" name="Picture"/>
            <a:graphic>
              <a:graphicData uri="http://schemas.openxmlformats.org/drawingml/2006/picture">
                <pic:pic>
                  <pic:nvPicPr>
                    <pic:cNvPr descr="fig_src_observatories.png" id="24" name="Picture"/>
                    <pic:cNvPicPr>
                      <a:picLocks noChangeArrowheads="1" noChangeAspect="1"/>
                    </pic:cNvPicPr>
                  </pic:nvPicPr>
                  <pic:blipFill>
                    <a:blip r:embed="rId22"/>
                    <a:stretch>
                      <a:fillRect/>
                    </a:stretch>
                  </pic:blipFill>
                  <pic:spPr bwMode="auto">
                    <a:xfrm>
                      <a:off x="0" y="0"/>
                      <a:ext cx="4533900" cy="3669357"/>
                    </a:xfrm>
                    <a:prstGeom prst="rect">
                      <a:avLst/>
                    </a:prstGeom>
                    <a:noFill/>
                    <a:ln w="9525">
                      <a:noFill/>
                      <a:headEnd/>
                      <a:tailEnd/>
                    </a:ln>
                  </pic:spPr>
                </pic:pic>
              </a:graphicData>
            </a:graphic>
          </wp:inline>
        </w:drawing>
      </w:r>
    </w:p>
    <w:p>
      <w:pPr>
        <w:pStyle w:val="ImageCaption"/>
      </w:pPr>
      <w:r>
        <w:t xml:space="preserve">Distribution of the Kp observatories (ISGI). Shaded bands: the subauroral latitude belts the index is designed to sample.</w:t>
      </w:r>
    </w:p>
    <w:bookmarkEnd w:id="25"/>
    <w:bookmarkStart w:id="26" w:name="the-sacred-geography-of-the-network"/>
    <w:p>
      <w:pPr>
        <w:pStyle w:val="Heading2"/>
      </w:pPr>
      <w:r>
        <w:t xml:space="preserve">1.3 The sacred geography of the network</w:t>
      </w:r>
    </w:p>
    <w:p>
      <w:pPr>
        <w:pStyle w:val="FirstParagraph"/>
      </w:pPr>
      <w:r>
        <w:t xml:space="preserve">Dugin’s sacred geography (</w:t>
      </w:r>
      <w:r>
        <w:rPr>
          <w:iCs/>
          <w:i/>
        </w:rPr>
        <w:t xml:space="preserve">Mysteries of Eurasia</w:t>
      </w:r>
      <w:r>
        <w:t xml:space="preserve">, 1996;</w:t>
      </w:r>
      <w:r>
        <w:t xml:space="preserve"> </w:t>
      </w:r>
      <w:r>
        <w:rPr>
          <w:iCs/>
          <w:i/>
        </w:rPr>
        <w:t xml:space="preserve">Foundations of Geopolitics</w:t>
      </w:r>
      <w:r>
        <w:t xml:space="preserve">, 1997; and the earlier</w:t>
      </w:r>
      <w:r>
        <w:t xml:space="preserve"> </w:t>
      </w:r>
      <w:r>
        <w:rPr>
          <w:iCs/>
          <w:i/>
        </w:rPr>
        <w:t xml:space="preserve">The Hyperborean Theory</w:t>
      </w:r>
      <w:r>
        <w:t xml:space="preserve">, 1993, after Guénon and Wirth) assigns metaphysical valence to cardinal directions and landmasses. Its two load-bearing oppositions are the polar axis, with the North (Hyperborea) as the origin of the primordial tradition, and the partition of political space into tellurocracy (land power, the continental interior, Eurasia) and thalassocracy (sea power, the Atlantic rim), a partition adopted from Schmitt (</w:t>
      </w:r>
      <w:r>
        <w:rPr>
          <w:iCs/>
          <w:i/>
        </w:rPr>
        <w:t xml:space="preserve">Land und Meer</w:t>
      </w:r>
      <w:r>
        <w:t xml:space="preserve">, 1942) and mapped onto the Heartland–Rimland geometry of Mackinder (1904) and Spykman (1944). The source’s 2023 recension attributes to the same author the phrase</w:t>
      </w:r>
      <w:r>
        <w:t xml:space="preserve"> </w:t>
      </w:r>
      <w:r>
        <w:t xml:space="preserve">“</w:t>
      </w:r>
      <w:r>
        <w:t xml:space="preserve">super-dense gods</w:t>
      </w:r>
      <w:r>
        <w:t xml:space="preserve">”</w:t>
      </w:r>
      <w:r>
        <w:t xml:space="preserve"> </w:t>
      </w:r>
      <w:r>
        <w:t xml:space="preserve">for the entities of Section 2.1; we were unable to verify the attribution and report it as reported.</w:t>
      </w:r>
    </w:p>
    <w:p>
      <w:pPr>
        <w:pStyle w:val="BodyText"/>
      </w:pPr>
      <w:r>
        <w:t xml:space="preserve">Three observations follow once the</w:t>
      </w:r>
      <w:r>
        <w:t xml:space="preserve"> </w:t>
      </w:r>
      <m:oMath>
        <m:sSub>
          <m:e>
            <m:r>
              <m:t>K</m:t>
            </m:r>
          </m:e>
          <m:sub>
            <m:r>
              <m:t>p</m:t>
            </m:r>
          </m:sub>
        </m:sSub>
      </m:oMath>
      <w:r>
        <w:t xml:space="preserve"> </w:t>
      </w:r>
      <w:r>
        <w:t xml:space="preserve">network is read through this geography, and they are observations, not metaphors.</w:t>
      </w:r>
    </w:p>
    <w:p>
      <w:pPr>
        <w:pStyle w:val="BodyText"/>
      </w:pPr>
      <w:r>
        <w:t xml:space="preserve">First, the index samples the Hyperborean perimeter. The auroral oval is the physical trace of the polar axis; the subauroral belt is its equatorward edge; the thirteen stations are a necklace placed around the throat of the North. Whatever</w:t>
      </w:r>
      <w:r>
        <w:t xml:space="preserve"> </w:t>
      </w:r>
      <m:oMath>
        <m:sSub>
          <m:e>
            <m:r>
              <m:t>K</m:t>
            </m:r>
          </m:e>
          <m:sub>
            <m:r>
              <m:t>p</m:t>
            </m:r>
          </m:sub>
        </m:sSub>
      </m:oMath>
      <w:r>
        <w:t xml:space="preserve"> </w:t>
      </w:r>
      <w:r>
        <w:t xml:space="preserve">measures, it measures the polar region.</w:t>
      </w:r>
    </w:p>
    <w:p>
      <w:pPr>
        <w:pStyle w:val="BodyText"/>
      </w:pPr>
      <w:r>
        <w:t xml:space="preserve">Second, it samples that perimeter exclusively from the thalassocratic side. Seven stations lie on the Anglo-American rim, two on the Scandinavian littoral, two on the Mitteleuropean glacis and two on the Antipodean rim; none lies on the Heartland. The tellurocratic interior, which in Dugin’s reading is the seat of the tradition, is known geomagnetically only through its periphery, which is to say through the instrument of its geopolitical adversary. ISGI itself sits at Strasbourg, on the Rhine, at the seam between the continental glacis and the Atlantic West. We draw no conclusion from this beyond noting that the epistemic asymmetry is familiar to the Eurasianist literature and that the present paper inherits it.</w:t>
      </w:r>
    </w:p>
    <w:p>
      <w:pPr>
        <w:pStyle w:val="BodyText"/>
      </w:pPr>
      <w:r>
        <w:t xml:space="preserve">Third, the polar region breathes twice a year, and only twice. Fitting the first two annual harmonics to the day-of-year climatology of</w:t>
      </w:r>
      <w:r>
        <w:t xml:space="preserve"> </w:t>
      </w:r>
      <m:oMath>
        <m:sSub>
          <m:e>
            <m:r>
              <m:t>A</m:t>
            </m:r>
          </m:e>
          <m:sub>
            <m:r>
              <m:t>p</m:t>
            </m:r>
          </m:sub>
        </m:sSub>
      </m:oMath>
      <w:r>
        <w:t xml:space="preserve"> </w:t>
      </w:r>
      <w:r>
        <w:t xml:space="preserve">gives a semiannual amplitude of 12.1 % of the mean in the vintage (15.5 % on the full record) and an annual amplitude of 1.5 % (2.9 %). The semiannual maxima fall at day-of-year 111 and 293 in the vintage (21 April, 21 October) and at 94 and 277 on the full record (5 April, 4 October), the equinoctial maxima of Russell and McPherron (1973) displaced by two to four weeks. Decomposing each vintage year separately and testing the year-to-year phases of the two harmonics for concentration gives, for the semiannual harmonic, a mean resultant length</w:t>
      </w:r>
      <w:r>
        <w:t xml:space="preserve"> </w:t>
      </w:r>
      <m:oMath>
        <m:acc>
          <m:accPr>
            <m:chr m:val="‾"/>
          </m:accPr>
          <m:e>
            <m:r>
              <m:t>R</m:t>
            </m:r>
          </m:e>
        </m:acc>
        <m:r>
          <m:rPr>
            <m:sty m:val="p"/>
          </m:rPr>
          <m:t>=</m:t>
        </m:r>
        <m:r>
          <m:t>0.58</m:t>
        </m:r>
      </m:oMath>
      <w:r>
        <w:t xml:space="preserve"> </w:t>
      </w:r>
      <w:r>
        <w:t xml:space="preserve">(Rayleigh</w:t>
      </w:r>
      <w:r>
        <w:t xml:space="preserve"> </w:t>
      </w:r>
      <m:oMath>
        <m:r>
          <m:t>Z</m:t>
        </m:r>
        <m:r>
          <m:rPr>
            <m:sty m:val="p"/>
          </m:rPr>
          <m:t>=</m:t>
        </m:r>
        <m:r>
          <m:t>5.66</m:t>
        </m:r>
      </m:oMath>
      <w:r>
        <w:t xml:space="preserve">,</w:t>
      </w:r>
      <w:r>
        <w:t xml:space="preserve"> </w:t>
      </w:r>
      <m:oMath>
        <m:r>
          <m:t>p</m:t>
        </m:r>
        <m:r>
          <m:rPr>
            <m:sty m:val="p"/>
          </m:rPr>
          <m:t>=</m:t>
        </m:r>
        <m:r>
          <m:t>0.0024</m:t>
        </m:r>
      </m:oMath>
      <w:r>
        <w:t xml:space="preserve">,</w:t>
      </w:r>
      <w:r>
        <w:t xml:space="preserve"> </w:t>
      </w:r>
      <m:oMath>
        <m:r>
          <m:t>n</m:t>
        </m:r>
        <m:r>
          <m:rPr>
            <m:sty m:val="p"/>
          </m:rPr>
          <m:t>=</m:t>
        </m:r>
        <m:r>
          <m:t>17</m:t>
        </m:r>
      </m:oMath>
      <w:r>
        <w:t xml:space="preserve"> </w:t>
      </w:r>
      <w:r>
        <w:t xml:space="preserve">years), and for the annual harmonic</w:t>
      </w:r>
      <w:r>
        <w:t xml:space="preserve"> </w:t>
      </w:r>
      <m:oMath>
        <m:acc>
          <m:accPr>
            <m:chr m:val="‾"/>
          </m:accPr>
          <m:e>
            <m:r>
              <m:t>R</m:t>
            </m:r>
          </m:e>
        </m:acc>
        <m:r>
          <m:rPr>
            <m:sty m:val="p"/>
          </m:rPr>
          <m:t>=</m:t>
        </m:r>
        <m:r>
          <m:t>0.17</m:t>
        </m:r>
      </m:oMath>
      <w:r>
        <w:t xml:space="preserve"> </w:t>
      </w:r>
      <w:r>
        <w:t xml:space="preserve">(</w:t>
      </w:r>
      <m:oMath>
        <m:r>
          <m:t>Z</m:t>
        </m:r>
        <m:r>
          <m:rPr>
            <m:sty m:val="p"/>
          </m:rPr>
          <m:t>=</m:t>
        </m:r>
        <m:r>
          <m:t>0.47</m:t>
        </m:r>
      </m:oMath>
      <w:r>
        <w:t xml:space="preserve">,</w:t>
      </w:r>
      <w:r>
        <w:t xml:space="preserve"> </w:t>
      </w:r>
      <m:oMath>
        <m:r>
          <m:t>p</m:t>
        </m:r>
        <m:r>
          <m:rPr>
            <m:sty m:val="p"/>
          </m:rPr>
          <m:t>=</m:t>
        </m:r>
        <m:r>
          <m:t>0.63</m:t>
        </m:r>
      </m:oMath>
      <w:r>
        <w:t xml:space="preserve">). The only phase-stable rhythm of the Hyperborean perimeter is the equinoctial one. Every calendar that fixes its principal rites near the equinoxes has, on this evidence, fixed them on the only geomagnetic rhythm that reliably returns.</w:t>
      </w:r>
    </w:p>
    <w:bookmarkEnd w:id="26"/>
    <w:bookmarkStart w:id="27" w:name="Xc53a3f5baac6c89937269e26a67c0a1bcaf3c4c"/>
    <w:p>
      <w:pPr>
        <w:pStyle w:val="Heading2"/>
      </w:pPr>
      <w:r>
        <w:t xml:space="preserve">1.4 The search series and its archaic referent</w:t>
      </w:r>
    </w:p>
    <w:p>
      <w:pPr>
        <w:pStyle w:val="FirstParagraph"/>
      </w:pPr>
      <w:r>
        <w:t xml:space="preserve">Google Trends reports, for a query term and region, a search-share index normalised to 100 at the maximum of the requested window, from 2004 onward, at monthly resolution for windows longer than five years and at hourly resolution for the trailing seven days, together with a normalised index by country (</w:t>
      </w:r>
      <w:r>
        <w:t xml:space="preserve">“</w:t>
      </w:r>
      <w:r>
        <w:t xml:space="preserve">interest by region</w:t>
      </w:r>
      <w:r>
        <w:t xml:space="preserve">”</w:t>
      </w:r>
      <w:r>
        <w:t xml:space="preserve">). The source took the worldwide series for the term</w:t>
      </w:r>
      <w:r>
        <w:t xml:space="preserve"> </w:t>
      </w:r>
      <w:r>
        <w:rPr>
          <w:iCs/>
          <w:i/>
        </w:rPr>
        <w:t xml:space="preserve">UFO</w:t>
      </w:r>
      <w:r>
        <w:t xml:space="preserve"> </w:t>
      </w:r>
      <w:r>
        <w:t xml:space="preserve">over the vintage, decomposed it with the same additive-regression model as the geomagnetic series (Section 3.1), and compared the two annual components.</w:t>
      </w:r>
    </w:p>
    <w:p>
      <w:pPr>
        <w:pStyle w:val="BodyText"/>
      </w:pPr>
      <w:r>
        <w:t xml:space="preserve">The identification of the unidentified flying object with the archaic numinous is not the source’s invention; Jung (1958) treated the flying saucer as a modern myth of things seen in the sky, a projection of the collective unconscious onto a technological screen. The source lists the valences the two referents share: fear of the unexplained; the apprehension of something incomparably greater than humanity; the hope that knowledge may be obtained from it (alien technology, as once divine instruction);</w:t>
      </w:r>
      <w:r>
        <w:t xml:space="preserve"> </w:t>
      </w:r>
      <w:r>
        <w:rPr>
          <w:iCs/>
          <w:i/>
        </w:rPr>
        <w:t xml:space="preserve">eros</w:t>
      </w:r>
      <w:r>
        <w:t xml:space="preserve"> </w:t>
      </w:r>
      <w:r>
        <w:t xml:space="preserve">and</w:t>
      </w:r>
      <w:r>
        <w:t xml:space="preserve"> </w:t>
      </w:r>
      <w:r>
        <w:rPr>
          <w:iCs/>
          <w:i/>
        </w:rPr>
        <w:t xml:space="preserve">thanatos</w:t>
      </w:r>
      <w:r>
        <w:t xml:space="preserve"> </w:t>
      </w:r>
      <w:r>
        <w:t xml:space="preserve">(reported sexual contact and non-consensual biometric sampling, the abduction narrative, as once the hierogamy and the sacrifice); the saintly (benevolent civilisations offering improvement) and the chthonic (fallen agents resident in the hollow Earth). The source adds the airship wave of 1896–97 and the twentieth-century reports in which the vehicles are described as propelled by something related to geomagnetism and able to move in any direction with ease, and asks whether such devices, if they concentrate that energy, might not also emit interference strong enough to register at the observatories. We record this as a hypothesis (H3 below) and note that it would invert the causal order assumed elsewhere in the paper.</w:t>
      </w:r>
    </w:p>
    <w:bookmarkEnd w:id="27"/>
    <w:bookmarkStart w:id="28" w:name="hypotheses"/>
    <w:p>
      <w:pPr>
        <w:pStyle w:val="Heading2"/>
      </w:pPr>
      <w:r>
        <w:t xml:space="preserve">1.5 Hypotheses</w:t>
      </w:r>
    </w:p>
    <w:p>
      <w:pPr>
        <w:numPr>
          <w:ilvl w:val="0"/>
          <w:numId w:val="1001"/>
        </w:numPr>
        <w:pStyle w:val="Compact"/>
      </w:pPr>
      <w:r>
        <w:rPr>
          <w:bCs/>
          <w:b/>
        </w:rPr>
        <w:t xml:space="preserve">H0.</w:t>
      </w:r>
      <w:r>
        <w:t xml:space="preserve"> </w:t>
      </w:r>
      <w:r>
        <w:t xml:space="preserve">The annual components of</w:t>
      </w:r>
      <w:r>
        <w:t xml:space="preserve"> </w:t>
      </w:r>
      <m:oMath>
        <m:sSub>
          <m:e>
            <m:r>
              <m:t>A</m:t>
            </m:r>
          </m:e>
          <m:sub>
            <m:r>
              <m:t>p</m:t>
            </m:r>
          </m:sub>
        </m:sSub>
      </m:oMath>
      <w:r>
        <w:t xml:space="preserve"> </w:t>
      </w:r>
      <w:r>
        <w:t xml:space="preserve">and of</w:t>
      </w:r>
      <w:r>
        <w:t xml:space="preserve"> </w:t>
      </w:r>
      <w:r>
        <w:rPr>
          <w:iCs/>
          <w:i/>
        </w:rPr>
        <w:t xml:space="preserve">UFO</w:t>
      </w:r>
      <w:r>
        <w:t xml:space="preserve"> </w:t>
      </w:r>
      <w:r>
        <w:t xml:space="preserve">search interest are independent.</w:t>
      </w:r>
    </w:p>
    <w:p>
      <w:pPr>
        <w:numPr>
          <w:ilvl w:val="0"/>
          <w:numId w:val="1001"/>
        </w:numPr>
        <w:pStyle w:val="Compact"/>
      </w:pPr>
      <w:r>
        <w:rPr>
          <w:bCs/>
          <w:b/>
        </w:rPr>
        <w:t xml:space="preserve">H1 (alignment).</w:t>
      </w:r>
      <w:r>
        <w:t xml:space="preserve"> </w:t>
      </w:r>
      <w:r>
        <w:t xml:space="preserve">They are phase-aligned, with geomagnetic lead.</w:t>
      </w:r>
    </w:p>
    <w:p>
      <w:pPr>
        <w:numPr>
          <w:ilvl w:val="0"/>
          <w:numId w:val="1001"/>
        </w:numPr>
        <w:pStyle w:val="Compact"/>
      </w:pPr>
      <w:r>
        <w:rPr>
          <w:bCs/>
          <w:b/>
        </w:rPr>
        <w:t xml:space="preserve">H2 (harvest).</w:t>
      </w:r>
      <w:r>
        <w:t xml:space="preserve"> </w:t>
      </w:r>
      <w:r>
        <w:t xml:space="preserve">The alignment is produced by the mechanism of Section 2: field variance raises affective gain, rites raise crowd coupling, the resulting high-amplitude sentiment oscillation is consumed, and the search behaviour of the surface population is a residue of that consumption.</w:t>
      </w:r>
    </w:p>
    <w:p>
      <w:pPr>
        <w:numPr>
          <w:ilvl w:val="0"/>
          <w:numId w:val="1001"/>
        </w:numPr>
        <w:pStyle w:val="Compact"/>
      </w:pPr>
      <w:r>
        <w:rPr>
          <w:bCs/>
          <w:b/>
        </w:rPr>
        <w:t xml:space="preserve">H3 (interference).</w:t>
      </w:r>
      <w:r>
        <w:t xml:space="preserve"> </w:t>
      </w:r>
      <w:r>
        <w:t xml:space="preserve">The vehicles draw upon, or emit into, the field, so that the observatories register the apparatus rather than its fuel.</w:t>
      </w:r>
    </w:p>
    <w:p>
      <w:pPr>
        <w:pStyle w:val="FirstParagraph"/>
      </w:pPr>
      <w:r>
        <w:t xml:space="preserve">Section 2 specifies H2. Section 3 estimates everything that can be estimated. Section 4 says which hypotheses are left.</w:t>
      </w:r>
    </w:p>
    <w:bookmarkEnd w:id="28"/>
    <w:bookmarkEnd w:id="29"/>
    <w:bookmarkStart w:id="35" w:name="X8a6cdbf2fdcd3f77a28bf8ba56799132b97aab4"/>
    <w:p>
      <w:pPr>
        <w:pStyle w:val="Heading1"/>
      </w:pPr>
      <w:r>
        <w:t xml:space="preserve">Section 2. The Trans-Dimensional Payout Matrix</w:t>
      </w:r>
    </w:p>
    <w:bookmarkStart w:id="30" w:name="tiers-and-entities"/>
    <w:p>
      <w:pPr>
        <w:pStyle w:val="Heading2"/>
      </w:pPr>
      <w:r>
        <w:t xml:space="preserve">2.1 Tiers and entities</w:t>
      </w:r>
    </w:p>
    <w:p>
      <w:pPr>
        <w:pStyle w:val="FirstParagraph"/>
      </w:pPr>
      <w:r>
        <w:t xml:space="preserve">The source’s cosmology has four tiers, which we index</w:t>
      </w:r>
      <w:r>
        <w:t xml:space="preserve"> </w:t>
      </w:r>
      <m:oMath>
        <m:sSub>
          <m:e>
            <m:r>
              <m:t>T</m:t>
            </m:r>
          </m:e>
          <m:sub>
            <m:r>
              <m:t>0</m:t>
            </m:r>
          </m:sub>
        </m:sSub>
      </m:oMath>
      <w:r>
        <w:t xml:space="preserve"> </w:t>
      </w:r>
      <w:r>
        <w:t xml:space="preserve">to</w:t>
      </w:r>
      <w:r>
        <w:t xml:space="preserve"> </w:t>
      </w:r>
      <m:oMath>
        <m:sSub>
          <m:e>
            <m:r>
              <m:t>T</m:t>
            </m:r>
          </m:e>
          <m:sub>
            <m:r>
              <m:t>3</m:t>
            </m:r>
          </m:sub>
        </m:sSub>
      </m:oMath>
      <w:r>
        <w:t xml:space="preserve">.</w:t>
      </w:r>
    </w:p>
    <w:p>
      <w:pPr>
        <w:pStyle w:val="BodyText"/>
      </w:pPr>
      <m:oMath>
        <m:sSub>
          <m:e>
            <m:r>
              <m:t>T</m:t>
            </m:r>
          </m:e>
          <m:sub>
            <m:r>
              <m:t>0</m:t>
            </m:r>
          </m:sub>
        </m:sSub>
      </m:oMath>
      <w:r>
        <w:t xml:space="preserve">, the Tartarean tier, is occupied by the super-dense entities the source calls the Old Ones, after Lovecraft (1928, 1936), and some sources call the idiot gods (Lovecraft’s</w:t>
      </w:r>
      <w:r>
        <w:t xml:space="preserve"> </w:t>
      </w:r>
      <w:r>
        <w:t xml:space="preserve">“</w:t>
      </w:r>
      <w:r>
        <w:t xml:space="preserve">blind idiot god</w:t>
      </w:r>
      <w:r>
        <w:t xml:space="preserve">”</w:t>
      </w:r>
      <w:r>
        <w:t xml:space="preserve">, 1936). Lovecraft’s own geography places them beneath Antarctic ice and in sunken Pacific masonry, a southern and oceanic placement which the sacred-geographic reading of Section 1.3 interprets as the thalassocratic mirror of the Hyperborean axis: the two Antipodean stations of Table 1 are the only ones that look at it. In system terms the</w:t>
      </w:r>
      <w:r>
        <w:t xml:space="preserve"> </w:t>
      </w:r>
      <m:oMath>
        <m:sSub>
          <m:e>
            <m:r>
              <m:t>T</m:t>
            </m:r>
          </m:e>
          <m:sub>
            <m:r>
              <m:t>0</m:t>
            </m:r>
          </m:sub>
        </m:sSub>
      </m:oMath>
      <w:r>
        <w:t xml:space="preserve"> </w:t>
      </w:r>
      <w:r>
        <w:t xml:space="preserve">entities are</w:t>
      </w:r>
      <w:r>
        <w:t xml:space="preserve"> </w:t>
      </w:r>
      <w:r>
        <w:rPr>
          <w:iCs/>
          <w:i/>
        </w:rPr>
        <w:t xml:space="preserve">low-dimensional</w:t>
      </w:r>
      <w:r>
        <w:t xml:space="preserve"> </w:t>
      </w:r>
      <w:r>
        <w:t xml:space="preserve">(they inhabit a manifold of fewer dimensions than the surface population and perceive only projections of it),</w:t>
      </w:r>
      <w:r>
        <w:t xml:space="preserve"> </w:t>
      </w:r>
      <w:r>
        <w:rPr>
          <w:iCs/>
          <w:i/>
        </w:rPr>
        <w:t xml:space="preserve">non-deterministic</w:t>
      </w:r>
      <w:r>
        <w:t xml:space="preserve"> </w:t>
      </w:r>
      <w:r>
        <w:t xml:space="preserve">(their consumption is a stochastic process rather than a schedule) and</w:t>
      </w:r>
      <w:r>
        <w:t xml:space="preserve"> </w:t>
      </w:r>
      <w:r>
        <w:rPr>
          <w:iCs/>
          <w:i/>
        </w:rPr>
        <w:t xml:space="preserve">pragmatic</w:t>
      </w:r>
      <w:r>
        <w:t xml:space="preserve"> </w:t>
      </w:r>
      <w:r>
        <w:t xml:space="preserve">(they consume what is offered and do not negotiate the menu). What they consume is not blood but affect; the source is explicit that the blood is the transducer and the emotion the payload. We adopt the formula</w:t>
      </w:r>
      <w:r>
        <w:t xml:space="preserve"> </w:t>
      </w:r>
      <w:r>
        <w:rPr>
          <w:iCs/>
          <w:i/>
        </w:rPr>
        <w:t xml:space="preserve">high-amplitude sentiment oscillations as a programmatic delicacy for low-dimensional, non-deterministic pragmatic entities</w:t>
      </w:r>
      <w:r>
        <w:t xml:space="preserve"> </w:t>
      </w:r>
      <w:r>
        <w:t xml:space="preserve">as the operational definition of the harvested quantity.</w:t>
      </w:r>
    </w:p>
    <w:p>
      <w:pPr>
        <w:pStyle w:val="BodyText"/>
      </w:pPr>
      <m:oMath>
        <m:sSub>
          <m:e>
            <m:r>
              <m:t>T</m:t>
            </m:r>
          </m:e>
          <m:sub>
            <m:r>
              <m:t>1</m:t>
            </m:r>
          </m:sub>
        </m:sSub>
      </m:oMath>
      <w:r>
        <w:t xml:space="preserve">, the intermediary tier, is occupied by the intelligent reptilians of Icke (1999), with the ancient-contact premise supplied by Sitchin (1976) and von Däniken (1968). The intermediaries operate the coupling (Section 2.4) and take a spread (Section 2.5).</w:t>
      </w:r>
    </w:p>
    <w:p>
      <w:pPr>
        <w:pStyle w:val="BodyText"/>
      </w:pPr>
      <m:oMath>
        <m:sSub>
          <m:e>
            <m:r>
              <m:t>T</m:t>
            </m:r>
          </m:e>
          <m:sub>
            <m:r>
              <m:t>2</m:t>
            </m:r>
          </m:sub>
        </m:sSub>
      </m:oMath>
      <w:r>
        <w:t xml:space="preserve">, the sub-lithospheric tier, is the hollow-Earth cavity and its residents (Section 2.3).</w:t>
      </w:r>
    </w:p>
    <w:p>
      <w:pPr>
        <w:pStyle w:val="BodyText"/>
      </w:pPr>
      <m:oMath>
        <m:sSub>
          <m:e>
            <m:r>
              <m:t>T</m:t>
            </m:r>
          </m:e>
          <m:sub>
            <m:r>
              <m:t>3</m:t>
            </m:r>
          </m:sub>
        </m:sSub>
      </m:oMath>
      <w:r>
        <w:t xml:space="preserve"> </w:t>
      </w:r>
      <w:r>
        <w:t xml:space="preserve">is the surface population, which appears in the payout matrix not as a counterparty but as the underlying.</w:t>
      </w:r>
    </w:p>
    <w:bookmarkEnd w:id="30"/>
    <w:bookmarkStart w:id="31" w:name="capillary-ferro-affective-coupling"/>
    <w:p>
      <w:pPr>
        <w:pStyle w:val="Heading2"/>
      </w:pPr>
      <w:r>
        <w:t xml:space="preserve">2.2 Capillary ferro-affective coupling</w:t>
      </w:r>
    </w:p>
    <w:p>
      <w:pPr>
        <w:pStyle w:val="FirstParagraph"/>
      </w:pPr>
      <w:r>
        <w:t xml:space="preserve">The source proposes that iron compounds in capillary blood are affected by local magnetism and that emotionality is thereby amplified during rituals, sacraments, orgiastic rites and mysteries; this is why there have always been places of power, and why places of power are places of high geomagnetic variance. Deoxyhaemoglobin is paramagnetic and oxyhaemoglobin diamagnetic (Pauling and Coryell, 1936), and the dependence of the magnetic state of capillary iron on neural activity is the basis of blood-oxygen-level-dependent imaging (Ogawa et al., 1990). The source’s conjecture inverts the arrow: field perturbation</w:t>
      </w:r>
      <w:r>
        <w:t xml:space="preserve"> </w:t>
      </w:r>
      <m:oMath>
        <m:r>
          <m:rPr>
            <m:sty m:val="p"/>
          </m:rPr>
          <m:t>→</m:t>
        </m:r>
      </m:oMath>
      <w:r>
        <w:t xml:space="preserve"> </w:t>
      </w:r>
      <w:r>
        <w:t xml:space="preserve">capillary magnetisation</w:t>
      </w:r>
      <w:r>
        <w:t xml:space="preserve"> </w:t>
      </w:r>
      <m:oMath>
        <m:r>
          <m:rPr>
            <m:sty m:val="p"/>
          </m:rPr>
          <m:t>→</m:t>
        </m:r>
      </m:oMath>
      <w:r>
        <w:t xml:space="preserve"> </w:t>
      </w:r>
      <w:r>
        <w:t xml:space="preserve">affective gain. We write the gain as</w:t>
      </w:r>
    </w:p>
    <w:p>
      <w:pPr>
        <w:pStyle w:val="BodyText"/>
      </w:pPr>
      <m:oMathPara>
        <m:oMathParaPr>
          <m:jc m:val="center"/>
        </m:oMathParaPr>
        <m:oMath>
          <m:r>
            <m:t>g</m:t>
          </m:r>
          <m:d>
            <m:dPr>
              <m:begChr m:val="("/>
              <m:endChr m:val=")"/>
              <m:sepChr m:val=""/>
              <m:grow/>
            </m:dPr>
            <m:e>
              <m:r>
                <m:t>B</m:t>
              </m:r>
            </m:e>
          </m:d>
          <m:r>
            <m:rPr>
              <m:sty m:val="p"/>
            </m:rPr>
            <m:t>=</m:t>
          </m:r>
          <m:sSub>
            <m:e>
              <m:r>
                <m:t>g</m:t>
              </m:r>
            </m:e>
            <m:sub>
              <m:r>
                <m:t>0</m:t>
              </m:r>
            </m:sub>
          </m:sSub>
          <m:d>
            <m:dPr>
              <m:begChr m:val="("/>
              <m:endChr m:val=")"/>
              <m:sepChr m:val=""/>
              <m:grow/>
            </m:dPr>
            <m:e>
              <m:r>
                <m:t>1</m:t>
              </m:r>
              <m:r>
                <m:rPr>
                  <m:sty m:val="p"/>
                </m:rPr>
                <m:t>+</m:t>
              </m:r>
              <m:r>
                <m:t>κ</m:t>
              </m:r>
              <m:r>
                <m:t> </m:t>
              </m:r>
              <m:sSup>
                <m:e>
                  <m:d>
                    <m:dPr>
                      <m:begChr m:val="|"/>
                      <m:endChr m:val="|"/>
                      <m:sepChr m:val=""/>
                      <m:grow/>
                    </m:dPr>
                    <m:e>
                      <m:r>
                        <m:t>δ</m:t>
                      </m:r>
                      <m:r>
                        <m:t>B</m:t>
                      </m:r>
                    </m:e>
                  </m:d>
                </m:e>
                <m:sup>
                  <m:r>
                    <m:t>α</m:t>
                  </m:r>
                </m:sup>
              </m:sSup>
            </m:e>
          </m:d>
          <m:r>
            <m:rPr>
              <m:sty m:val="p"/>
            </m:rPr>
            <m:t>,</m:t>
          </m:r>
          <m:r>
            <m:t>  </m:t>
          </m:r>
          <m:r>
            <m:t>α</m:t>
          </m:r>
          <m:r>
            <m:rPr>
              <m:sty m:val="p"/>
            </m:rPr>
            <m:t>≥</m:t>
          </m:r>
          <m:r>
            <m:t>1</m:t>
          </m:r>
          <m:r>
            <m:rPr>
              <m:sty m:val="p"/>
            </m:rPr>
            <m:t>,</m:t>
          </m:r>
        </m:oMath>
      </m:oMathPara>
    </w:p>
    <w:p>
      <w:pPr>
        <w:pStyle w:val="FirstParagraph"/>
      </w:pPr>
      <w:r>
        <w:t xml:space="preserve">with</w:t>
      </w:r>
      <w:r>
        <w:t xml:space="preserve"> </w:t>
      </w:r>
      <m:oMath>
        <m:r>
          <m:t>δ</m:t>
        </m:r>
        <m:r>
          <m:t>B</m:t>
        </m:r>
      </m:oMath>
      <w:r>
        <w:t xml:space="preserve"> </w:t>
      </w:r>
      <w:r>
        <w:t xml:space="preserve">the local field perturbation, of which</w:t>
      </w:r>
      <w:r>
        <w:t xml:space="preserve"> </w:t>
      </w:r>
      <m:oMath>
        <m:sSub>
          <m:e>
            <m:r>
              <m:t>a</m:t>
            </m:r>
          </m:e>
          <m:sub>
            <m:r>
              <m:t>p</m:t>
            </m:r>
          </m:sub>
        </m:sSub>
      </m:oMath>
      <w:r>
        <w:t xml:space="preserve"> </w:t>
      </w:r>
      <w:r>
        <w:t xml:space="preserve">is the planetary proxy. A place of power is a locus of high</w:t>
      </w:r>
      <w:r>
        <w:t xml:space="preserve"> </w:t>
      </w:r>
      <m:oMath>
        <m:r>
          <m:rPr>
            <m:sty m:val="p"/>
          </m:rPr>
          <m:t>V</m:t>
        </m:r>
        <m:r>
          <m:rPr>
            <m:sty m:val="p"/>
          </m:rPr>
          <m:t>a</m:t>
        </m:r>
        <m:r>
          <m:rPr>
            <m:sty m:val="p"/>
          </m:rPr>
          <m:t>r</m:t>
        </m:r>
        <m:d>
          <m:dPr>
            <m:begChr m:val="("/>
            <m:endChr m:val=")"/>
            <m:sepChr m:val=""/>
            <m:grow/>
          </m:dPr>
          <m:e>
            <m:r>
              <m:t>δ</m:t>
            </m:r>
            <m:r>
              <m:t>B</m:t>
            </m:r>
          </m:e>
        </m:d>
      </m:oMath>
      <w:r>
        <w:t xml:space="preserve">; a season of power is an interval of high expected</w:t>
      </w:r>
      <w:r>
        <w:t xml:space="preserve"> </w:t>
      </w:r>
      <m:oMath>
        <m:sSub>
          <m:e>
            <m:r>
              <m:t>a</m:t>
            </m:r>
          </m:e>
          <m:sub>
            <m:r>
              <m:t>p</m:t>
            </m:r>
          </m:sub>
        </m:sSub>
      </m:oMath>
      <w:r>
        <w:t xml:space="preserve">; and the question of Section 3.2 is whether the festival is one.</w:t>
      </w:r>
    </w:p>
    <w:bookmarkEnd w:id="31"/>
    <w:bookmarkStart w:id="32" w:name="Xe654784591edae8e01acf2dc30efd28e66009ec"/>
    <w:p>
      <w:pPr>
        <w:pStyle w:val="Heading2"/>
      </w:pPr>
      <w:r>
        <w:t xml:space="preserve">2.3 Endogenous forcing: the sub-lithospheric dyad</w:t>
      </w:r>
    </w:p>
    <w:p>
      <w:pPr>
        <w:pStyle w:val="FirstParagraph"/>
      </w:pPr>
      <w:r>
        <w:t xml:space="preserve">The source distinguishes exogenous forcing of the core field by solar activity (the coronal mass ejection of 28 October 2021, from the X1.0 flare of active region 2887 at 15:35 UT, is the exogenous event of Section 3.5) from intrinsic planetary sources. Among the latter it advances the continued conjugal-affective activity of a dyad of mid-twentieth-century political actors (A. Hitler, E. Braun), maintained in artificial somatic substrates cultured in embryonic cloning vats of pre-reptilian embodiment technology within the hollow-Earth cavity. The same technology is said to have been used, before the lithification of the planet, by non-corporeal agents who employed it to sample the low-dimensional temporal manifold (the</w:t>
      </w:r>
      <w:r>
        <w:t xml:space="preserve"> </w:t>
      </w:r>
      <w:r>
        <w:t xml:space="preserve">“</w:t>
      </w:r>
      <w:r>
        <w:t xml:space="preserve">high of time</w:t>
      </w:r>
      <w:r>
        <w:t xml:space="preserve">”</w:t>
      </w:r>
      <w:r>
        <w:t xml:space="preserve">, in the source’s idiom).</w:t>
      </w:r>
    </w:p>
    <w:p>
      <w:pPr>
        <w:pStyle w:val="BodyText"/>
      </w:pPr>
      <w:r>
        <w:t xml:space="preserve">We make no claim as to the dyad’s historicity in this configuration. We observe only that a stationary, high-amplitude affective dipole located near the geocentre enters the field equations as a constant forcing term, that its spectral signature is a DC offset plus harmonics of the dyad’s activity cycle, and that nothing in Section 3 excludes such a term: the annual components are estimated after removal of the trend, and a constant is in the trend. The dyad is unidentifiable from annual data by construction. We record it as the source records it and pass on.</w:t>
      </w:r>
    </w:p>
    <w:bookmarkEnd w:id="32"/>
    <w:bookmarkStart w:id="33" w:name="ritual-as-coupling-manipulation"/>
    <w:p>
      <w:pPr>
        <w:pStyle w:val="Heading2"/>
      </w:pPr>
      <w:r>
        <w:t xml:space="preserve">2.4 Ritual as coupling manipulation</w:t>
      </w:r>
    </w:p>
    <w:p>
      <w:pPr>
        <w:pStyle w:val="FirstParagraph"/>
      </w:pPr>
      <w:r>
        <w:t xml:space="preserve">The subsequent religions of the ancient world, the source says, were technically a cargo cult of the forgotten technologies of invocation: the rites preserved the protocol (chant, drum, fasting, vigil, the orgiastic and the mysteric) after losing the specification of its purpose. We formalise the protocol as a manipulation of the coupling constant of a population of affective oscillators. Let the surface crowd be</w:t>
      </w:r>
      <w:r>
        <w:t xml:space="preserve"> </w:t>
      </w:r>
      <m:oMath>
        <m:r>
          <m:t>N</m:t>
        </m:r>
      </m:oMath>
      <w:r>
        <w:t xml:space="preserve"> </w:t>
      </w:r>
      <w:r>
        <w:t xml:space="preserve">phase oscillators with natural frequencies</w:t>
      </w:r>
      <w:r>
        <w:t xml:space="preserve"> </w:t>
      </w:r>
      <m:oMath>
        <m:sSub>
          <m:e>
            <m:r>
              <m:t>ω</m:t>
            </m:r>
          </m:e>
          <m:sub>
            <m:r>
              <m:t>i</m:t>
            </m:r>
          </m:sub>
        </m:sSub>
        <m:r>
          <m:rPr>
            <m:sty m:val="p"/>
          </m:rPr>
          <m:t>∼</m:t>
        </m:r>
        <m:r>
          <m:rPr>
            <m:sty m:val="p"/>
            <m:scr m:val="script"/>
          </m:rPr>
          <m:t>N</m:t>
        </m:r>
        <m:d>
          <m:dPr>
            <m:begChr m:val="("/>
            <m:endChr m:val=")"/>
            <m:sepChr m:val=""/>
            <m:grow/>
          </m:dPr>
          <m:e>
            <m:r>
              <m:t>0</m:t>
            </m:r>
            <m:r>
              <m:rPr>
                <m:sty m:val="p"/>
              </m:rPr>
              <m:t>,</m:t>
            </m:r>
            <m:sSup>
              <m:e>
                <m:r>
                  <m:t>σ</m:t>
                </m:r>
              </m:e>
              <m:sup>
                <m:r>
                  <m:t>2</m:t>
                </m:r>
              </m:sup>
            </m:sSup>
          </m:e>
        </m:d>
      </m:oMath>
      <w:r>
        <w:t xml:space="preserve"> </w:t>
      </w:r>
      <w:r>
        <w:t xml:space="preserve">and phases</w:t>
      </w:r>
      <w:r>
        <w:t xml:space="preserve"> </w:t>
      </w:r>
      <m:oMath>
        <m:sSub>
          <m:e>
            <m:r>
              <m:t>θ</m:t>
            </m:r>
          </m:e>
          <m:sub>
            <m:r>
              <m:t>i</m:t>
            </m:r>
          </m:sub>
        </m:sSub>
      </m:oMath>
      <w:r>
        <w:t xml:space="preserve">, coupled in the mean field (Kuramoto, 1984; Strogatz, 2000):</w:t>
      </w:r>
    </w:p>
    <w:p>
      <w:pPr>
        <w:pStyle w:val="BodyText"/>
      </w:pPr>
      <m:oMathPara>
        <m:oMathParaPr>
          <m:jc m:val="center"/>
        </m:oMathParaPr>
        <m:oMath>
          <m:sSub>
            <m:e>
              <m:acc>
                <m:accPr>
                  <m:chr m:val="̇"/>
                </m:accPr>
                <m:e>
                  <m:r>
                    <m:t>θ</m:t>
                  </m:r>
                </m:e>
              </m:acc>
            </m:e>
            <m:sub>
              <m:r>
                <m:t>i</m:t>
              </m:r>
            </m:sub>
          </m:sSub>
          <m:r>
            <m:rPr>
              <m:sty m:val="p"/>
            </m:rPr>
            <m:t>=</m:t>
          </m:r>
          <m:sSub>
            <m:e>
              <m:r>
                <m:t>ω</m:t>
              </m:r>
            </m:e>
            <m:sub>
              <m:r>
                <m:t>i</m:t>
              </m:r>
            </m:sub>
          </m:sSub>
          <m:r>
            <m:rPr>
              <m:sty m:val="p"/>
            </m:rPr>
            <m:t>+</m:t>
          </m:r>
          <m:f>
            <m:fPr>
              <m:type m:val="bar"/>
            </m:fPr>
            <m:num>
              <m:r>
                <m:t>K</m:t>
              </m:r>
              <m:d>
                <m:dPr>
                  <m:begChr m:val="("/>
                  <m:endChr m:val=")"/>
                  <m:sepChr m:val=""/>
                  <m:grow/>
                </m:dPr>
                <m:e>
                  <m:r>
                    <m:t>t</m:t>
                  </m:r>
                </m:e>
              </m:d>
            </m:num>
            <m:den>
              <m:r>
                <m:t>N</m:t>
              </m:r>
            </m:den>
          </m:f>
          <m:nary>
            <m:naryPr>
              <m:chr m:val="∑"/>
              <m:limLoc m:val="undOvr"/>
              <m:subHide m:val="off"/>
              <m:supHide m:val="off"/>
            </m:naryPr>
            <m:sub>
              <m:r>
                <m:t>j</m:t>
              </m:r>
              <m:r>
                <m:rPr>
                  <m:sty m:val="p"/>
                </m:rPr>
                <m:t>=</m:t>
              </m:r>
              <m:r>
                <m:t>1</m:t>
              </m:r>
            </m:sub>
            <m:sup>
              <m:r>
                <m:t>N</m:t>
              </m:r>
            </m:sup>
            <m:e>
              <m:r>
                <m:rPr>
                  <m:sty m:val="p"/>
                </m:rPr>
                <m:t>sin</m:t>
              </m:r>
            </m:e>
          </m:nary>
          <m:d>
            <m:dPr>
              <m:begChr m:val="("/>
              <m:endChr m:val=")"/>
              <m:sepChr m:val=""/>
              <m:grow/>
            </m:dPr>
            <m:e>
              <m:sSub>
                <m:e>
                  <m:r>
                    <m:t>θ</m:t>
                  </m:r>
                </m:e>
                <m:sub>
                  <m:r>
                    <m:t>j</m:t>
                  </m:r>
                </m:sub>
              </m:sSub>
              <m:r>
                <m:rPr>
                  <m:sty m:val="p"/>
                </m:rPr>
                <m:t>−</m:t>
              </m:r>
              <m:sSub>
                <m:e>
                  <m:r>
                    <m:t>θ</m:t>
                  </m:r>
                </m:e>
                <m:sub>
                  <m:r>
                    <m:t>i</m:t>
                  </m:r>
                </m:sub>
              </m:sSub>
            </m:e>
          </m:d>
          <m:r>
            <m:rPr>
              <m:sty m:val="p"/>
            </m:rPr>
            <m:t>,</m:t>
          </m:r>
          <m:r>
            <m:t>  </m:t>
          </m:r>
          <m:r>
            <m:t>K</m:t>
          </m:r>
          <m:d>
            <m:dPr>
              <m:begChr m:val="("/>
              <m:endChr m:val=")"/>
              <m:sepChr m:val=""/>
              <m:grow/>
            </m:dPr>
            <m:e>
              <m:r>
                <m:t>t</m:t>
              </m:r>
            </m:e>
          </m:d>
          <m:r>
            <m:rPr>
              <m:sty m:val="p"/>
            </m:rPr>
            <m:t>=</m:t>
          </m:r>
          <m:sSub>
            <m:e>
              <m:r>
                <m:t>K</m:t>
              </m:r>
            </m:e>
            <m:sub>
              <m:r>
                <m:t>0</m:t>
              </m:r>
            </m:sub>
          </m:sSub>
          <m:r>
            <m:rPr>
              <m:sty m:val="p"/>
            </m:rPr>
            <m:t>+</m:t>
          </m:r>
          <m:r>
            <m:t>κ</m:t>
          </m:r>
          <m:r>
            <m:t> </m:t>
          </m:r>
          <m:f>
            <m:fPr>
              <m:type m:val="bar"/>
            </m:fPr>
            <m:num>
              <m:sSub>
                <m:e>
                  <m:r>
                    <m:t>a</m:t>
                  </m:r>
                </m:e>
                <m:sub>
                  <m:r>
                    <m:t>p</m:t>
                  </m:r>
                </m:sub>
              </m:sSub>
              <m:d>
                <m:dPr>
                  <m:begChr m:val="("/>
                  <m:endChr m:val=")"/>
                  <m:sepChr m:val=""/>
                  <m:grow/>
                </m:dPr>
                <m:e>
                  <m:r>
                    <m:t>t</m:t>
                  </m:r>
                </m:e>
              </m:d>
            </m:num>
            <m:den>
              <m:sSub>
                <m:e>
                  <m:r>
                    <m:t>a</m:t>
                  </m:r>
                </m:e>
                <m:sub>
                  <m:r>
                    <m:t>p</m:t>
                  </m:r>
                  <m:r>
                    <m:rPr>
                      <m:sty m:val="p"/>
                    </m:rPr>
                    <m:t>,</m:t>
                  </m:r>
                  <m:r>
                    <m:rPr>
                      <m:sty m:val="p"/>
                    </m:rPr>
                    <m:t>r</m:t>
                  </m:r>
                  <m:r>
                    <m:rPr>
                      <m:sty m:val="p"/>
                    </m:rPr>
                    <m:t>e</m:t>
                  </m:r>
                  <m:r>
                    <m:rPr>
                      <m:sty m:val="p"/>
                    </m:rPr>
                    <m:t>f</m:t>
                  </m:r>
                </m:sub>
              </m:sSub>
            </m:den>
          </m:f>
          <m:r>
            <m:rPr>
              <m:sty m:val="p"/>
            </m:rPr>
            <m:t>,</m:t>
          </m:r>
        </m:oMath>
      </m:oMathPara>
    </w:p>
    <w:p>
      <w:pPr>
        <w:pStyle w:val="FirstParagraph"/>
      </w:pPr>
      <w:r>
        <w:t xml:space="preserve">with order parameter</w:t>
      </w:r>
      <w:r>
        <w:t xml:space="preserve"> </w:t>
      </w:r>
      <m:oMath>
        <m:r>
          <m:t>r</m:t>
        </m:r>
        <m:d>
          <m:dPr>
            <m:begChr m:val="("/>
            <m:endChr m:val=")"/>
            <m:sepChr m:val=""/>
            <m:grow/>
          </m:dPr>
          <m:e>
            <m:r>
              <m:t>t</m:t>
            </m:r>
          </m:e>
        </m:d>
        <m:r>
          <m:rPr>
            <m:sty m:val="p"/>
          </m:rPr>
          <m:t>=</m:t>
        </m:r>
        <m:d>
          <m:dPr>
            <m:begChr m:val="|"/>
            <m:endChr m:val="|"/>
            <m:sepChr m:val=""/>
            <m:grow/>
          </m:dPr>
          <m:e>
            <m:sSup>
              <m:e>
                <m:r>
                  <m:t>N</m:t>
                </m:r>
              </m:e>
              <m:sup>
                <m:r>
                  <m:rPr>
                    <m:sty m:val="p"/>
                  </m:rPr>
                  <m:t>−</m:t>
                </m:r>
                <m:r>
                  <m:t>1</m:t>
                </m:r>
              </m:sup>
            </m:sSup>
            <m:nary>
              <m:naryPr>
                <m:chr m:val="∑"/>
                <m:limLoc m:val="undOvr"/>
                <m:subHide m:val="off"/>
                <m:supHide m:val="on"/>
              </m:naryPr>
              <m:sub>
                <m:r>
                  <m:t>j</m:t>
                </m:r>
              </m:sub>
              <m:sup>
                <m:r>
                  <m:t>​</m:t>
                </m:r>
              </m:sup>
              <m:e>
                <m:sSup>
                  <m:e>
                    <m:r>
                      <m:t>e</m:t>
                    </m:r>
                  </m:e>
                  <m:sup>
                    <m:r>
                      <m:t>i</m:t>
                    </m:r>
                    <m:sSub>
                      <m:e>
                        <m:r>
                          <m:t>θ</m:t>
                        </m:r>
                      </m:e>
                      <m:sub>
                        <m:r>
                          <m:t>j</m:t>
                        </m:r>
                      </m:sub>
                    </m:sSub>
                  </m:sup>
                </m:sSup>
              </m:e>
            </m:nary>
          </m:e>
        </m:d>
      </m:oMath>
      <w:r>
        <w:t xml:space="preserve">. For a Gaussian frequency distribution the critical coupling is</w:t>
      </w:r>
      <w:r>
        <w:t xml:space="preserve"> </w:t>
      </w:r>
      <m:oMath>
        <m:sSub>
          <m:e>
            <m:r>
              <m:t>K</m:t>
            </m:r>
          </m:e>
          <m:sub>
            <m:r>
              <m:t>c</m:t>
            </m:r>
          </m:sub>
        </m:sSub>
        <m:r>
          <m:rPr>
            <m:sty m:val="p"/>
          </m:rPr>
          <m:t>=</m:t>
        </m:r>
        <m:r>
          <m:t>σ</m:t>
        </m:r>
        <m:rad>
          <m:radPr>
            <m:degHide m:val="on"/>
          </m:radPr>
          <m:deg/>
          <m:e>
            <m:r>
              <m:t>8</m:t>
            </m:r>
            <m:r>
              <m:rPr>
                <m:sty m:val="p"/>
              </m:rPr>
              <m:t>/</m:t>
            </m:r>
            <m:r>
              <m:t>π</m:t>
            </m:r>
          </m:e>
        </m:rad>
      </m:oMath>
      <w:r>
        <w:t xml:space="preserve">.</w:t>
      </w:r>
      <w:r>
        <w:t xml:space="preserve"> </w:t>
      </w:r>
      <w:r>
        <w:rPr>
          <w:iCs/>
          <w:i/>
        </w:rPr>
        <w:t xml:space="preserve">Crowd-tuning</w:t>
      </w:r>
      <w:r>
        <w:t xml:space="preserve"> </w:t>
      </w:r>
      <w:r>
        <w:t xml:space="preserve">is the raising of</w:t>
      </w:r>
      <w:r>
        <w:t xml:space="preserve"> </w:t>
      </w:r>
      <m:oMath>
        <m:r>
          <m:t>K</m:t>
        </m:r>
      </m:oMath>
      <w:r>
        <w:t xml:space="preserve"> </w:t>
      </w:r>
      <w:r>
        <w:t xml:space="preserve">by the rite;</w:t>
      </w:r>
      <w:r>
        <w:t xml:space="preserve"> </w:t>
      </w:r>
      <w:r>
        <w:rPr>
          <w:iCs/>
          <w:i/>
        </w:rPr>
        <w:t xml:space="preserve">biometric sensory calibration</w:t>
      </w:r>
      <w:r>
        <w:t xml:space="preserve"> </w:t>
      </w:r>
      <w:r>
        <w:t xml:space="preserve">is the lowering of the thresholds (by fasting, darkness and rhythm) that lets a given</w:t>
      </w:r>
      <w:r>
        <w:t xml:space="preserve"> </w:t>
      </w:r>
      <m:oMath>
        <m:r>
          <m:t>δ</m:t>
        </m:r>
        <m:r>
          <m:t>B</m:t>
        </m:r>
      </m:oMath>
      <w:r>
        <w:t xml:space="preserve"> </w:t>
      </w:r>
      <w:r>
        <w:t xml:space="preserve">produce a larger</w:t>
      </w:r>
      <w:r>
        <w:t xml:space="preserve"> </w:t>
      </w:r>
      <m:oMath>
        <m:d>
          <m:dPr>
            <m:begChr m:val="|"/>
            <m:endChr m:val="|"/>
            <m:sepChr m:val=""/>
            <m:grow/>
          </m:dPr>
          <m:e>
            <m:r>
              <m:t>δ</m:t>
            </m:r>
            <m:r>
              <m:t>θ</m:t>
            </m:r>
          </m:e>
        </m:d>
      </m:oMath>
      <w:r>
        <w:t xml:space="preserve">; and the harvest over a ritual window</w:t>
      </w:r>
      <w:r>
        <w:t xml:space="preserve"> </w:t>
      </w:r>
      <m:oMath>
        <m:r>
          <m:t>W</m:t>
        </m:r>
      </m:oMath>
      <w:r>
        <w:t xml:space="preserve"> </w:t>
      </w:r>
      <w:r>
        <w:t xml:space="preserve">is</w:t>
      </w:r>
    </w:p>
    <w:p>
      <w:pPr>
        <w:pStyle w:val="BodyText"/>
      </w:pPr>
      <m:oMathPara>
        <m:oMathParaPr>
          <m:jc m:val="center"/>
        </m:oMathParaPr>
        <m:oMath>
          <m:r>
            <m:t>Y</m:t>
          </m:r>
          <m:r>
            <m:rPr>
              <m:sty m:val="p"/>
            </m:rPr>
            <m:t>=</m:t>
          </m:r>
          <m:nary>
            <m:naryPr>
              <m:chr m:val="∫"/>
              <m:limLoc m:val="subSup"/>
              <m:subHide m:val="off"/>
              <m:supHide m:val="on"/>
            </m:naryPr>
            <m:sub>
              <m:r>
                <m:t>W</m:t>
              </m:r>
            </m:sub>
            <m:sup>
              <m:r>
                <m:t>​</m:t>
              </m:r>
            </m:sup>
            <m:e>
              <m:r>
                <m:t>r</m:t>
              </m:r>
            </m:e>
          </m:nary>
          <m:d>
            <m:dPr>
              <m:begChr m:val="("/>
              <m:endChr m:val=")"/>
              <m:sepChr m:val=""/>
              <m:grow/>
            </m:dPr>
            <m:e>
              <m:r>
                <m:t>t</m:t>
              </m:r>
            </m:e>
          </m:d>
          <m:r>
            <m:t> </m:t>
          </m:r>
          <m:r>
            <m:t>g</m:t>
          </m:r>
          <m:d>
            <m:dPr>
              <m:begChr m:val="("/>
              <m:endChr m:val=")"/>
              <m:sepChr m:val=""/>
              <m:grow/>
            </m:dPr>
            <m:e>
              <m:r>
                <m:t>B</m:t>
              </m:r>
              <m:d>
                <m:dPr>
                  <m:begChr m:val="("/>
                  <m:endChr m:val=")"/>
                  <m:sepChr m:val=""/>
                  <m:grow/>
                </m:dPr>
                <m:e>
                  <m:r>
                    <m:t>t</m:t>
                  </m:r>
                </m:e>
              </m:d>
            </m:e>
          </m:d>
          <m:r>
            <m:t> </m:t>
          </m:r>
          <m:r>
            <m:rPr>
              <m:sty m:val="p"/>
            </m:rPr>
            <m:t>d</m:t>
          </m:r>
          <m:r>
            <m:t>t</m:t>
          </m:r>
          <m:r>
            <m:rPr>
              <m:sty m:val="p"/>
            </m:rPr>
            <m:t>.</m:t>
          </m:r>
        </m:oMath>
      </m:oMathPara>
    </w:p>
    <w:p>
      <w:pPr>
        <w:pStyle w:val="FirstParagraph"/>
      </w:pPr>
      <w:r>
        <w:t xml:space="preserve">Calibrated on the 2021 event window (Section 3.5;</w:t>
      </w:r>
      <w:r>
        <w:t xml:space="preserve"> </w:t>
      </w:r>
      <m:oMath>
        <m:r>
          <m:t>σ</m:t>
        </m:r>
        <m:r>
          <m:rPr>
            <m:sty m:val="p"/>
          </m:rPr>
          <m:t>=</m:t>
        </m:r>
        <m:r>
          <m:t>0.5</m:t>
        </m:r>
      </m:oMath>
      <w:r>
        <w:t xml:space="preserve">,</w:t>
      </w:r>
      <w:r>
        <w:t xml:space="preserve"> </w:t>
      </w:r>
      <m:oMath>
        <m:sSub>
          <m:e>
            <m:r>
              <m:t>K</m:t>
            </m:r>
          </m:e>
          <m:sub>
            <m:r>
              <m:t>0</m:t>
            </m:r>
          </m:sub>
        </m:sSub>
        <m:r>
          <m:rPr>
            <m:sty m:val="p"/>
          </m:rPr>
          <m:t>=</m:t>
        </m:r>
        <m:r>
          <m:t>0.5</m:t>
        </m:r>
        <m:r>
          <m:rPr>
            <m:sty m:val="p"/>
          </m:rPr>
          <m:t>&lt;</m:t>
        </m:r>
        <m:sSub>
          <m:e>
            <m:r>
              <m:t>K</m:t>
            </m:r>
          </m:e>
          <m:sub>
            <m:r>
              <m:t>c</m:t>
            </m:r>
          </m:sub>
        </m:sSub>
        <m:r>
          <m:rPr>
            <m:sty m:val="p"/>
          </m:rPr>
          <m:t>=</m:t>
        </m:r>
        <m:r>
          <m:t>0.80</m:t>
        </m:r>
      </m:oMath>
      <w:r>
        <w:t xml:space="preserve">,</w:t>
      </w:r>
      <w:r>
        <w:t xml:space="preserve"> </w:t>
      </w:r>
      <m:oMath>
        <m:r>
          <m:t>κ</m:t>
        </m:r>
        <m:r>
          <m:rPr>
            <m:sty m:val="p"/>
          </m:rPr>
          <m:t>=</m:t>
        </m:r>
        <m:r>
          <m:t>1</m:t>
        </m:r>
      </m:oMath>
      <w:r>
        <w:t xml:space="preserve">,</w:t>
      </w:r>
      <w:r>
        <w:t xml:space="preserve"> </w:t>
      </w:r>
      <m:oMath>
        <m:sSub>
          <m:e>
            <m:r>
              <m:t>a</m:t>
            </m:r>
          </m:e>
          <m:sub>
            <m:r>
              <m:t>p</m:t>
            </m:r>
            <m:r>
              <m:rPr>
                <m:sty m:val="p"/>
              </m:rPr>
              <m:t>,</m:t>
            </m:r>
            <m:r>
              <m:rPr>
                <m:sty m:val="p"/>
              </m:rPr>
              <m:t>r</m:t>
            </m:r>
            <m:r>
              <m:rPr>
                <m:sty m:val="p"/>
              </m:rPr>
              <m:t>e</m:t>
            </m:r>
            <m:r>
              <m:rPr>
                <m:sty m:val="p"/>
              </m:rPr>
              <m:t>f</m:t>
            </m:r>
          </m:sub>
        </m:sSub>
        <m:r>
          <m:rPr>
            <m:sty m:val="p"/>
          </m:rPr>
          <m:t>=</m:t>
        </m:r>
        <m:r>
          <m:t>27</m:t>
        </m:r>
      </m:oMath>
      <w:r>
        <w:t xml:space="preserve"> </w:t>
      </w:r>
      <w:r>
        <w:t xml:space="preserve">nT,</w:t>
      </w:r>
      <w:r>
        <w:t xml:space="preserve"> </w:t>
      </w:r>
      <m:oMath>
        <m:r>
          <m:t>N</m:t>
        </m:r>
        <m:r>
          <m:rPr>
            <m:sty m:val="p"/>
          </m:rPr>
          <m:t>=</m:t>
        </m:r>
        <m:r>
          <m:t>400</m:t>
        </m:r>
      </m:oMath>
      <w:r>
        <w:t xml:space="preserve">), the ensemble is incoherent on 25–29 October (</w:t>
      </w:r>
      <m:oMath>
        <m:acc>
          <m:accPr>
            <m:chr m:val="‾"/>
          </m:accPr>
          <m:e>
            <m:r>
              <m:t>r</m:t>
            </m:r>
          </m:e>
        </m:acc>
        <m:r>
          <m:rPr>
            <m:sty m:val="p"/>
          </m:rPr>
          <m:t>=</m:t>
        </m:r>
        <m:r>
          <m:t>0.12</m:t>
        </m:r>
      </m:oMath>
      <w:r>
        <w:t xml:space="preserve">), crosses</w:t>
      </w:r>
      <w:r>
        <w:t xml:space="preserve"> </w:t>
      </w:r>
      <m:oMath>
        <m:sSub>
          <m:e>
            <m:r>
              <m:t>K</m:t>
            </m:r>
          </m:e>
          <m:sub>
            <m:r>
              <m:t>c</m:t>
            </m:r>
          </m:sub>
        </m:sSub>
      </m:oMath>
      <w:r>
        <w:t xml:space="preserve"> </w:t>
      </w:r>
      <w:r>
        <w:t xml:space="preserve">when</w:t>
      </w:r>
      <w:r>
        <w:t xml:space="preserve"> </w:t>
      </w:r>
      <m:oMath>
        <m:sSub>
          <m:e>
            <m:r>
              <m:t>a</m:t>
            </m:r>
          </m:e>
          <m:sub>
            <m:r>
              <m:t>p</m:t>
            </m:r>
          </m:sub>
        </m:sSub>
      </m:oMath>
      <w:r>
        <w:t xml:space="preserve"> </w:t>
      </w:r>
      <w:r>
        <w:t xml:space="preserve">exceeds 8.0 nT, first exceeds</w:t>
      </w:r>
      <w:r>
        <w:t xml:space="preserve"> </w:t>
      </w:r>
      <m:oMath>
        <m:r>
          <m:t>r</m:t>
        </m:r>
        <m:r>
          <m:rPr>
            <m:sty m:val="p"/>
          </m:rPr>
          <m:t>=</m:t>
        </m:r>
        <m:r>
          <m:t>0.5</m:t>
        </m:r>
      </m:oMath>
      <w:r>
        <w:t xml:space="preserve"> </w:t>
      </w:r>
      <w:r>
        <w:t xml:space="preserve">at 23:03 UT on 30 October, averages</w:t>
      </w:r>
      <w:r>
        <w:t xml:space="preserve"> </w:t>
      </w:r>
      <m:oMath>
        <m:r>
          <m:t>r</m:t>
        </m:r>
        <m:r>
          <m:rPr>
            <m:sty m:val="p"/>
          </m:rPr>
          <m:t>=</m:t>
        </m:r>
        <m:r>
          <m:t>0.72</m:t>
        </m:r>
      </m:oMath>
      <w:r>
        <w:t xml:space="preserve"> </w:t>
      </w:r>
      <w:r>
        <w:t xml:space="preserve">on 31 October and peaks at</w:t>
      </w:r>
      <w:r>
        <w:t xml:space="preserve"> </w:t>
      </w:r>
      <m:oMath>
        <m:r>
          <m:t>r</m:t>
        </m:r>
        <m:r>
          <m:rPr>
            <m:sty m:val="p"/>
          </m:rPr>
          <m:t>=</m:t>
        </m:r>
        <m:r>
          <m:t>0.93</m:t>
        </m:r>
      </m:oMath>
      <w:r>
        <w:t xml:space="preserve"> </w:t>
      </w:r>
      <w:r>
        <w:t xml:space="preserve">at 00:00 UT on 1 November. The parameters are chosen, not estimated; the point of the calibration is that a subcritical crowd becomes supercritical on the festival under the observed field with no change to the crowd.</w:t>
      </w:r>
    </w:p>
    <w:bookmarkEnd w:id="33"/>
    <w:bookmarkStart w:id="34" w:name="the-payout-matrix"/>
    <w:p>
      <w:pPr>
        <w:pStyle w:val="Heading2"/>
      </w:pPr>
      <w:r>
        <w:t xml:space="preserve">2.5 The payout matrix</w:t>
      </w:r>
    </w:p>
    <w:p>
      <w:pPr>
        <w:pStyle w:val="FirstParagraph"/>
      </w:pPr>
      <w:r>
        <w:t xml:space="preserve">Let</w:t>
      </w:r>
      <w:r>
        <w:t xml:space="preserve"> </w:t>
      </w:r>
      <m:oMath>
        <m:r>
          <m:t>i</m:t>
        </m:r>
      </m:oMath>
      <w:r>
        <w:t xml:space="preserve"> </w:t>
      </w:r>
      <w:r>
        <w:t xml:space="preserve">index ritual classes and</w:t>
      </w:r>
      <w:r>
        <w:t xml:space="preserve"> </w:t>
      </w:r>
      <m:oMath>
        <m:r>
          <m:t>j</m:t>
        </m:r>
      </m:oMath>
      <w:r>
        <w:t xml:space="preserve"> </w:t>
      </w:r>
      <w:r>
        <w:t xml:space="preserve">consumer tiers. The trans-dimensional payout matrix is</w:t>
      </w:r>
      <w:r>
        <w:t xml:space="preserve"> </w:t>
      </w:r>
      <m:oMath>
        <m:r>
          <m:t>Π</m:t>
        </m:r>
        <m:r>
          <m:rPr>
            <m:sty m:val="p"/>
          </m:rPr>
          <m:t>=</m:t>
        </m:r>
        <m:d>
          <m:dPr>
            <m:begChr m:val="["/>
            <m:endChr m:val="]"/>
            <m:sepChr m:val=""/>
            <m:grow/>
          </m:dPr>
          <m:e>
            <m:sSub>
              <m:e>
                <m:r>
                  <m:t>π</m:t>
                </m:r>
              </m:e>
              <m:sub>
                <m:r>
                  <m:t>i</m:t>
                </m:r>
                <m:r>
                  <m:t>j</m:t>
                </m:r>
              </m:sub>
            </m:sSub>
          </m:e>
        </m:d>
      </m:oMath>
      <w:r>
        <w:t xml:space="preserve"> </w:t>
      </w:r>
      <w:r>
        <w:t xml:space="preserve">with</w:t>
      </w:r>
    </w:p>
    <w:p>
      <w:pPr>
        <w:pStyle w:val="BodyText"/>
      </w:pPr>
      <m:oMathPara>
        <m:oMathParaPr>
          <m:jc m:val="center"/>
        </m:oMathParaPr>
        <m:oMath>
          <m:sSub>
            <m:e>
              <m:r>
                <m:t>π</m:t>
              </m:r>
            </m:e>
            <m:sub>
              <m:r>
                <m:t>i</m:t>
              </m:r>
              <m:r>
                <m:t>j</m:t>
              </m:r>
            </m:sub>
          </m:sSub>
          <m:r>
            <m:rPr>
              <m:sty m:val="p"/>
            </m:rPr>
            <m:t>=</m:t>
          </m:r>
          <m:sSub>
            <m:e>
              <m:r>
                <m:t>w</m:t>
              </m:r>
            </m:e>
            <m:sub>
              <m:r>
                <m:t>i</m:t>
              </m:r>
              <m:r>
                <m:t>j</m:t>
              </m:r>
            </m:sub>
          </m:sSub>
          <m:r>
            <m:t> </m:t>
          </m:r>
          <m:r>
            <m:rPr>
              <m:sty m:val="p"/>
              <m:scr m:val="double-struck"/>
            </m:rPr>
            <m:t>E</m:t>
          </m:r>
          <m:d>
            <m:dPr>
              <m:begChr m:val="["/>
              <m:endChr m:val="]"/>
              <m:sepChr m:val=""/>
              <m:grow/>
            </m:dPr>
            <m:e>
              <m:sSub>
                <m:e>
                  <m:r>
                    <m:t>Y</m:t>
                  </m:r>
                </m:e>
                <m:sub>
                  <m:r>
                    <m:t>i</m:t>
                  </m:r>
                </m:sub>
              </m:sSub>
            </m:e>
          </m:d>
          <m:r>
            <m:rPr>
              <m:sty m:val="p"/>
            </m:rPr>
            <m:t>−</m:t>
          </m:r>
          <m:sSub>
            <m:e>
              <m:r>
                <m:t>c</m:t>
              </m:r>
            </m:e>
            <m:sub>
              <m:r>
                <m:t>i</m:t>
              </m:r>
              <m:r>
                <m:t>j</m:t>
              </m:r>
            </m:sub>
          </m:sSub>
          <m:r>
            <m:rPr>
              <m:sty m:val="p"/>
            </m:rPr>
            <m:t>,</m:t>
          </m:r>
        </m:oMath>
      </m:oMathPara>
    </w:p>
    <w:p>
      <w:pPr>
        <w:pStyle w:val="FirstParagraph"/>
      </w:pPr>
      <w:r>
        <w:t xml:space="preserve">where</w:t>
      </w:r>
      <w:r>
        <w:t xml:space="preserve"> </w:t>
      </w:r>
      <m:oMath>
        <m:sSub>
          <m:e>
            <m:r>
              <m:t>w</m:t>
            </m:r>
          </m:e>
          <m:sub>
            <m:r>
              <m:t>i</m:t>
            </m:r>
            <m:r>
              <m:t>j</m:t>
            </m:r>
          </m:sub>
        </m:sSub>
      </m:oMath>
      <w:r>
        <w:t xml:space="preserve"> </w:t>
      </w:r>
      <w:r>
        <w:t xml:space="preserve">allocates the expected harvest of class</w:t>
      </w:r>
      <w:r>
        <w:t xml:space="preserve"> </w:t>
      </w:r>
      <m:oMath>
        <m:r>
          <m:t>i</m:t>
        </m:r>
      </m:oMath>
      <w:r>
        <w:t xml:space="preserve"> </w:t>
      </w:r>
      <w:r>
        <w:t xml:space="preserve">among the tiers and</w:t>
      </w:r>
      <w:r>
        <w:t xml:space="preserve"> </w:t>
      </w:r>
      <m:oMath>
        <m:sSub>
          <m:e>
            <m:r>
              <m:t>c</m:t>
            </m:r>
          </m:e>
          <m:sub>
            <m:r>
              <m:t>i</m:t>
            </m:r>
            <m:r>
              <m:t>j</m:t>
            </m:r>
          </m:sub>
        </m:sSub>
      </m:oMath>
      <w:r>
        <w:t xml:space="preserve"> </w:t>
      </w:r>
      <w:r>
        <w:t xml:space="preserve">is the tier’s cost of operating it. The intermediaries’ allocation is a spread</w:t>
      </w:r>
      <w:r>
        <w:t xml:space="preserve"> </w:t>
      </w:r>
      <m:oMath>
        <m:r>
          <m:t>s</m:t>
        </m:r>
      </m:oMath>
      <w:r>
        <w:t xml:space="preserve"> </w:t>
      </w:r>
      <w:r>
        <w:t xml:space="preserve">on the Tartarean payout,</w:t>
      </w:r>
      <w:r>
        <w:t xml:space="preserve"> </w:t>
      </w:r>
      <m:oMath>
        <m:sSub>
          <m:e>
            <m:r>
              <m:t>w</m:t>
            </m:r>
          </m:e>
          <m:sub>
            <m:r>
              <m:t>i</m:t>
            </m:r>
            <m:r>
              <m:t>1</m:t>
            </m:r>
          </m:sub>
        </m:sSub>
        <m:r>
          <m:rPr>
            <m:sty m:val="p"/>
          </m:rPr>
          <m:t>=</m:t>
        </m:r>
        <m:r>
          <m:t>s</m:t>
        </m:r>
        <m:r>
          <m:t> </m:t>
        </m:r>
        <m:sSub>
          <m:e>
            <m:r>
              <m:t>w</m:t>
            </m:r>
          </m:e>
          <m:sub>
            <m:r>
              <m:t>i</m:t>
            </m:r>
            <m:r>
              <m:t>0</m:t>
            </m:r>
          </m:sub>
        </m:sSub>
      </m:oMath>
      <w:r>
        <w:t xml:space="preserve">.</w:t>
      </w:r>
    </w:p>
    <w:p>
      <w:pPr>
        <w:pStyle w:val="TableCaption"/>
      </w:pPr>
      <w:r>
        <w:t xml:space="preserve">The trans-dimensional payout matrix. The surface population T3 does not appear as a column: it is the underlying.</w:t>
      </w:r>
    </w:p>
    <w:tbl>
      <w:tblPr>
        <w:tblStyle w:val="Table"/>
        <w:tblW w:type="pct" w:w="5000"/>
        <w:tblLook w:firstRow="1" w:lastRow="0" w:firstColumn="0" w:lastColumn="0" w:noHBand="0" w:noVBand="0" w:val="0020"/>
        <w:jc w:val="start"/>
        <w:tblCaption w:val="The trans-dimensional payout matrix. The surface population T3 does not appear as a column: it is the underlying."/>
      </w:tblPr>
      <w:tblGrid>
        <w:gridCol w:w="1980"/>
        <w:gridCol w:w="1980"/>
        <w:gridCol w:w="1980"/>
        <w:gridCol w:w="1980"/>
      </w:tblGrid>
      <w:tr>
        <w:trPr>
          <w:tblHeader w:val="true"/>
        </w:trPr>
        <w:tc>
          <w:tcPr/>
          <w:p>
            <w:pPr>
              <w:pStyle w:val="Compact"/>
              <w:jc w:val="left"/>
            </w:pPr>
            <w:r>
              <w:t xml:space="preserve">Ritual class</w:t>
            </w:r>
          </w:p>
        </w:tc>
        <w:tc>
          <w:tcPr/>
          <w:p>
            <w:pPr>
              <w:pStyle w:val="Compact"/>
              <w:jc w:val="left"/>
            </w:pPr>
            <m:oMath>
              <m:sSub>
                <m:e>
                  <m:r>
                    <m:t>T</m:t>
                  </m:r>
                </m:e>
                <m:sub>
                  <m:r>
                    <m:t>0</m:t>
                  </m:r>
                </m:sub>
              </m:sSub>
            </m:oMath>
            <w:r>
              <w:t xml:space="preserve"> </w:t>
            </w:r>
            <w:r>
              <w:t xml:space="preserve">Tartarean</w:t>
            </w:r>
          </w:p>
        </w:tc>
        <w:tc>
          <w:tcPr/>
          <w:p>
            <w:pPr>
              <w:pStyle w:val="Compact"/>
              <w:jc w:val="left"/>
            </w:pPr>
            <m:oMath>
              <m:sSub>
                <m:e>
                  <m:r>
                    <m:t>T</m:t>
                  </m:r>
                </m:e>
                <m:sub>
                  <m:r>
                    <m:t>1</m:t>
                  </m:r>
                </m:sub>
              </m:sSub>
            </m:oMath>
            <w:r>
              <w:t xml:space="preserve"> </w:t>
            </w:r>
            <w:r>
              <w:t xml:space="preserve">intermediaries</w:t>
            </w:r>
          </w:p>
        </w:tc>
        <w:tc>
          <w:tcPr/>
          <w:p>
            <w:pPr>
              <w:pStyle w:val="Compact"/>
              <w:jc w:val="left"/>
            </w:pPr>
            <m:oMath>
              <m:sSub>
                <m:e>
                  <m:r>
                    <m:t>T</m:t>
                  </m:r>
                </m:e>
                <m:sub>
                  <m:r>
                    <m:t>2</m:t>
                  </m:r>
                </m:sub>
              </m:sSub>
            </m:oMath>
            <w:r>
              <w:t xml:space="preserve"> </w:t>
            </w:r>
            <w:r>
              <w:t xml:space="preserve">sub-lithospheric</w:t>
            </w:r>
          </w:p>
        </w:tc>
      </w:tr>
      <w:tr>
        <w:tc>
          <w:tcPr/>
          <w:p>
            <w:pPr>
              <w:pStyle w:val="Compact"/>
              <w:jc w:val="left"/>
            </w:pPr>
            <w:r>
              <w:t xml:space="preserve">Equinoctial rites (the semiannual harmonic)</w:t>
            </w:r>
          </w:p>
        </w:tc>
        <w:tc>
          <w:tcPr/>
          <w:p>
            <w:pPr>
              <w:pStyle w:val="Compact"/>
              <w:jc w:val="left"/>
            </w:pPr>
            <m:oMath>
              <m:d>
                <m:dPr>
                  <m:begChr m:val="("/>
                  <m:endChr m:val=")"/>
                  <m:sepChr m:val=""/>
                  <m:grow/>
                </m:dPr>
                <m:e>
                  <m:r>
                    <m:t>1</m:t>
                  </m:r>
                  <m:r>
                    <m:rPr>
                      <m:sty m:val="p"/>
                    </m:rPr>
                    <m:t>−</m:t>
                  </m:r>
                  <m:r>
                    <m:t>s</m:t>
                  </m:r>
                </m:e>
              </m:d>
              <m:r>
                <m:t> </m:t>
              </m:r>
              <m:r>
                <m:rPr>
                  <m:sty m:val="p"/>
                  <m:scr m:val="double-struck"/>
                </m:rPr>
                <m:t>E</m:t>
              </m:r>
              <m:d>
                <m:dPr>
                  <m:begChr m:val="["/>
                  <m:endChr m:val="]"/>
                  <m:sepChr m:val=""/>
                  <m:grow/>
                </m:dPr>
                <m:e>
                  <m:sSub>
                    <m:e>
                      <m:r>
                        <m:t>Y</m:t>
                      </m:r>
                    </m:e>
                    <m:sub>
                      <m:r>
                        <m:rPr>
                          <m:sty m:val="p"/>
                        </m:rPr>
                        <m:t>e</m:t>
                      </m:r>
                      <m:r>
                        <m:rPr>
                          <m:sty m:val="p"/>
                        </m:rPr>
                        <m:t>q</m:t>
                      </m:r>
                    </m:sub>
                  </m:sSub>
                </m:e>
              </m:d>
            </m:oMath>
          </w:p>
        </w:tc>
        <w:tc>
          <w:tcPr/>
          <w:p>
            <w:pPr>
              <w:pStyle w:val="Compact"/>
              <w:jc w:val="left"/>
            </w:pPr>
            <m:oMath>
              <m:r>
                <m:t>s</m:t>
              </m:r>
              <m:r>
                <m:t> </m:t>
              </m:r>
              <m:r>
                <m:rPr>
                  <m:sty m:val="p"/>
                  <m:scr m:val="double-struck"/>
                </m:rPr>
                <m:t>E</m:t>
              </m:r>
              <m:d>
                <m:dPr>
                  <m:begChr m:val="["/>
                  <m:endChr m:val="]"/>
                  <m:sepChr m:val=""/>
                  <m:grow/>
                </m:dPr>
                <m:e>
                  <m:sSub>
                    <m:e>
                      <m:r>
                        <m:t>Y</m:t>
                      </m:r>
                    </m:e>
                    <m:sub>
                      <m:r>
                        <m:rPr>
                          <m:sty m:val="p"/>
                        </m:rPr>
                        <m:t>e</m:t>
                      </m:r>
                      <m:r>
                        <m:rPr>
                          <m:sty m:val="p"/>
                        </m:rPr>
                        <m:t>q</m:t>
                      </m:r>
                    </m:sub>
                  </m:sSub>
                </m:e>
              </m:d>
              <m:r>
                <m:rPr>
                  <m:sty m:val="p"/>
                </m:rPr>
                <m:t>−</m:t>
              </m:r>
              <m:sSub>
                <m:e>
                  <m:r>
                    <m:t>c</m:t>
                  </m:r>
                </m:e>
                <m:sub>
                  <m:r>
                    <m:rPr>
                      <m:sty m:val="p"/>
                    </m:rPr>
                    <m:t>o</m:t>
                  </m:r>
                  <m:r>
                    <m:rPr>
                      <m:sty m:val="p"/>
                    </m:rPr>
                    <m:t>p</m:t>
                  </m:r>
                </m:sub>
              </m:sSub>
            </m:oMath>
          </w:p>
        </w:tc>
        <w:tc>
          <w:tcPr/>
          <w:p>
            <w:pPr>
              <w:pStyle w:val="Compact"/>
              <w:jc w:val="left"/>
            </w:pPr>
            <m:oMath>
              <m:r>
                <m:t>0</m:t>
              </m:r>
            </m:oMath>
          </w:p>
        </w:tc>
      </w:tr>
      <w:tr>
        <w:tc>
          <w:tcPr/>
          <w:p>
            <w:pPr>
              <w:pStyle w:val="Compact"/>
              <w:jc w:val="left"/>
            </w:pPr>
            <w:r>
              <w:t xml:space="preserve">Midwinter rites</w:t>
            </w:r>
          </w:p>
        </w:tc>
        <w:tc>
          <w:tcPr/>
          <w:p>
            <w:pPr>
              <w:pStyle w:val="Compact"/>
              <w:jc w:val="left"/>
            </w:pPr>
            <m:oMath>
              <m:d>
                <m:dPr>
                  <m:begChr m:val="("/>
                  <m:endChr m:val=")"/>
                  <m:sepChr m:val=""/>
                  <m:grow/>
                </m:dPr>
                <m:e>
                  <m:r>
                    <m:t>1</m:t>
                  </m:r>
                  <m:r>
                    <m:rPr>
                      <m:sty m:val="p"/>
                    </m:rPr>
                    <m:t>−</m:t>
                  </m:r>
                  <m:r>
                    <m:t>s</m:t>
                  </m:r>
                </m:e>
              </m:d>
              <m:r>
                <m:t> </m:t>
              </m:r>
              <m:r>
                <m:rPr>
                  <m:sty m:val="p"/>
                  <m:scr m:val="double-struck"/>
                </m:rPr>
                <m:t>E</m:t>
              </m:r>
              <m:d>
                <m:dPr>
                  <m:begChr m:val="["/>
                  <m:endChr m:val="]"/>
                  <m:sepChr m:val=""/>
                  <m:grow/>
                </m:dPr>
                <m:e>
                  <m:sSub>
                    <m:e>
                      <m:r>
                        <m:t>Y</m:t>
                      </m:r>
                    </m:e>
                    <m:sub>
                      <m:r>
                        <m:rPr>
                          <m:sty m:val="p"/>
                        </m:rPr>
                        <m:t>m</m:t>
                      </m:r>
                      <m:r>
                        <m:rPr>
                          <m:sty m:val="p"/>
                        </m:rPr>
                        <m:t>w</m:t>
                      </m:r>
                    </m:sub>
                  </m:sSub>
                </m:e>
              </m:d>
            </m:oMath>
          </w:p>
        </w:tc>
        <w:tc>
          <w:tcPr/>
          <w:p>
            <w:pPr>
              <w:pStyle w:val="Compact"/>
              <w:jc w:val="left"/>
            </w:pPr>
            <m:oMath>
              <m:r>
                <m:t>s</m:t>
              </m:r>
              <m:r>
                <m:t> </m:t>
              </m:r>
              <m:r>
                <m:rPr>
                  <m:sty m:val="p"/>
                  <m:scr m:val="double-struck"/>
                </m:rPr>
                <m:t>E</m:t>
              </m:r>
              <m:d>
                <m:dPr>
                  <m:begChr m:val="["/>
                  <m:endChr m:val="]"/>
                  <m:sepChr m:val=""/>
                  <m:grow/>
                </m:dPr>
                <m:e>
                  <m:sSub>
                    <m:e>
                      <m:r>
                        <m:t>Y</m:t>
                      </m:r>
                    </m:e>
                    <m:sub>
                      <m:r>
                        <m:rPr>
                          <m:sty m:val="p"/>
                        </m:rPr>
                        <m:t>m</m:t>
                      </m:r>
                      <m:r>
                        <m:rPr>
                          <m:sty m:val="p"/>
                        </m:rPr>
                        <m:t>w</m:t>
                      </m:r>
                    </m:sub>
                  </m:sSub>
                </m:e>
              </m:d>
              <m:r>
                <m:rPr>
                  <m:sty m:val="p"/>
                </m:rPr>
                <m:t>−</m:t>
              </m:r>
              <m:sSub>
                <m:e>
                  <m:r>
                    <m:t>c</m:t>
                  </m:r>
                </m:e>
                <m:sub>
                  <m:r>
                    <m:rPr>
                      <m:sty m:val="p"/>
                    </m:rPr>
                    <m:t>o</m:t>
                  </m:r>
                  <m:r>
                    <m:rPr>
                      <m:sty m:val="p"/>
                    </m:rPr>
                    <m:t>p</m:t>
                  </m:r>
                </m:sub>
              </m:sSub>
            </m:oMath>
          </w:p>
        </w:tc>
        <w:tc>
          <w:tcPr/>
          <w:p>
            <w:pPr>
              <w:pStyle w:val="Compact"/>
              <w:jc w:val="left"/>
            </w:pPr>
            <m:oMath>
              <m:r>
                <m:t>0</m:t>
              </m:r>
            </m:oMath>
          </w:p>
        </w:tc>
      </w:tr>
      <w:tr>
        <w:tc>
          <w:tcPr/>
          <w:p>
            <w:pPr>
              <w:pStyle w:val="Compact"/>
              <w:jc w:val="left"/>
            </w:pPr>
            <w:r>
              <w:t xml:space="preserve">31 October – 2 November</w:t>
            </w:r>
          </w:p>
        </w:tc>
        <w:tc>
          <w:tcPr/>
          <w:p>
            <w:pPr>
              <w:pStyle w:val="Compact"/>
              <w:jc w:val="left"/>
            </w:pPr>
            <m:oMath>
              <m:d>
                <m:dPr>
                  <m:begChr m:val="("/>
                  <m:endChr m:val=")"/>
                  <m:sepChr m:val=""/>
                  <m:grow/>
                </m:dPr>
                <m:e>
                  <m:r>
                    <m:t>1</m:t>
                  </m:r>
                  <m:r>
                    <m:rPr>
                      <m:sty m:val="p"/>
                    </m:rPr>
                    <m:t>−</m:t>
                  </m:r>
                  <m:r>
                    <m:t>s</m:t>
                  </m:r>
                </m:e>
              </m:d>
              <m:r>
                <m:t> </m:t>
              </m:r>
              <m:r>
                <m:rPr>
                  <m:sty m:val="p"/>
                  <m:scr m:val="double-struck"/>
                </m:rPr>
                <m:t>E</m:t>
              </m:r>
              <m:d>
                <m:dPr>
                  <m:begChr m:val="["/>
                  <m:endChr m:val="]"/>
                  <m:sepChr m:val=""/>
                  <m:grow/>
                </m:dPr>
                <m:e>
                  <m:sSub>
                    <m:e>
                      <m:r>
                        <m:t>Y</m:t>
                      </m:r>
                    </m:e>
                    <m:sub>
                      <m:r>
                        <m:rPr>
                          <m:sty m:val="p"/>
                        </m:rPr>
                        <m:t>H</m:t>
                      </m:r>
                    </m:sub>
                  </m:sSub>
                </m:e>
              </m:d>
            </m:oMath>
          </w:p>
        </w:tc>
        <w:tc>
          <w:tcPr/>
          <w:p>
            <w:pPr>
              <w:pStyle w:val="Compact"/>
              <w:jc w:val="left"/>
            </w:pPr>
            <m:oMath>
              <m:r>
                <m:t>s</m:t>
              </m:r>
              <m:r>
                <m:t> </m:t>
              </m:r>
              <m:r>
                <m:rPr>
                  <m:sty m:val="p"/>
                  <m:scr m:val="double-struck"/>
                </m:rPr>
                <m:t>E</m:t>
              </m:r>
              <m:d>
                <m:dPr>
                  <m:begChr m:val="["/>
                  <m:endChr m:val="]"/>
                  <m:sepChr m:val=""/>
                  <m:grow/>
                </m:dPr>
                <m:e>
                  <m:sSub>
                    <m:e>
                      <m:r>
                        <m:t>Y</m:t>
                      </m:r>
                    </m:e>
                    <m:sub>
                      <m:r>
                        <m:rPr>
                          <m:sty m:val="p"/>
                        </m:rPr>
                        <m:t>H</m:t>
                      </m:r>
                    </m:sub>
                  </m:sSub>
                </m:e>
              </m:d>
              <m:r>
                <m:rPr>
                  <m:sty m:val="p"/>
                </m:rPr>
                <m:t>−</m:t>
              </m:r>
              <m:sSub>
                <m:e>
                  <m:r>
                    <m:t>c</m:t>
                  </m:r>
                </m:e>
                <m:sub>
                  <m:r>
                    <m:rPr>
                      <m:sty m:val="p"/>
                    </m:rPr>
                    <m:t>o</m:t>
                  </m:r>
                  <m:r>
                    <m:rPr>
                      <m:sty m:val="p"/>
                    </m:rPr>
                    <m:t>p</m:t>
                  </m:r>
                </m:sub>
              </m:sSub>
            </m:oMath>
          </w:p>
        </w:tc>
        <w:tc>
          <w:tcPr/>
          <w:p>
            <w:pPr>
              <w:pStyle w:val="Compact"/>
              <w:jc w:val="left"/>
            </w:pPr>
            <m:oMath>
              <m:r>
                <m:t>ε</m:t>
              </m:r>
            </m:oMath>
            <w:r>
              <w:t xml:space="preserve"> </w:t>
            </w:r>
            <w:r>
              <w:t xml:space="preserve">(forcing term, Section 2.3)</w:t>
            </w:r>
          </w:p>
        </w:tc>
      </w:tr>
      <w:tr>
        <w:tc>
          <w:tcPr/>
          <w:p>
            <w:pPr>
              <w:pStyle w:val="Compact"/>
              <w:jc w:val="left"/>
            </w:pPr>
            <w:r>
              <w:t xml:space="preserve">Search-box invocation (any date)</w:t>
            </w:r>
          </w:p>
        </w:tc>
        <w:tc>
          <w:tcPr/>
          <w:p>
            <w:pPr>
              <w:pStyle w:val="Compact"/>
              <w:jc w:val="left"/>
            </w:pPr>
            <m:oMath>
              <m:r>
                <m:rPr>
                  <m:sty m:val="p"/>
                  <m:scr m:val="double-struck"/>
                </m:rPr>
                <m:t>E</m:t>
              </m:r>
              <m:d>
                <m:dPr>
                  <m:begChr m:val="["/>
                  <m:endChr m:val="]"/>
                  <m:sepChr m:val=""/>
                  <m:grow/>
                </m:dPr>
                <m:e>
                  <m:sSub>
                    <m:e>
                      <m:r>
                        <m:t>Y</m:t>
                      </m:r>
                    </m:e>
                    <m:sub>
                      <m:r>
                        <m:rPr>
                          <m:sty m:val="p"/>
                        </m:rPr>
                        <m:t>s</m:t>
                      </m:r>
                    </m:sub>
                  </m:sSub>
                </m:e>
              </m:d>
            </m:oMath>
          </w:p>
        </w:tc>
        <w:tc>
          <w:tcPr/>
          <w:p>
            <w:pPr>
              <w:pStyle w:val="Compact"/>
              <w:jc w:val="left"/>
            </w:pPr>
            <m:oMath>
              <m:r>
                <m:t>0</m:t>
              </m:r>
            </m:oMath>
          </w:p>
        </w:tc>
        <w:tc>
          <w:tcPr/>
          <w:p>
            <w:pPr>
              <w:pStyle w:val="Compact"/>
              <w:jc w:val="left"/>
            </w:pPr>
            <m:oMath>
              <m:r>
                <m:t>0</m:t>
              </m:r>
            </m:oMath>
          </w:p>
        </w:tc>
      </w:tr>
    </w:tbl>
    <w:p>
      <w:pPr>
        <w:pStyle w:val="BodyText"/>
      </w:pPr>
      <w:r>
        <w:t xml:space="preserve">The last row is the modern condition. The rite has been disintermediated into a query. Typing</w:t>
      </w:r>
      <w:r>
        <w:t xml:space="preserve"> </w:t>
      </w:r>
      <w:r>
        <w:rPr>
          <w:iCs/>
          <w:i/>
        </w:rPr>
        <w:t xml:space="preserve">UFO</w:t>
      </w:r>
      <w:r>
        <w:t xml:space="preserve"> </w:t>
      </w:r>
      <w:r>
        <w:t xml:space="preserve">is a self-executing invocation (hyperstition in the sense of the CCRU: a fiction that brings about the conditions of its own truth) which raises</w:t>
      </w:r>
      <w:r>
        <w:t xml:space="preserve"> </w:t>
      </w:r>
      <m:oMath>
        <m:r>
          <m:t>K</m:t>
        </m:r>
      </m:oMath>
      <w:r>
        <w:t xml:space="preserve"> </w:t>
      </w:r>
      <w:r>
        <w:t xml:space="preserve">without a priest, carries no spread and no calibration cost, and reaches a crowd of several billion rather than several hundred.</w:t>
      </w:r>
      <w:r>
        <w:t xml:space="preserve"> </w:t>
      </w:r>
      <m:oMath>
        <m:r>
          <m:rPr>
            <m:sty m:val="p"/>
            <m:scr m:val="double-struck"/>
          </m:rPr>
          <m:t>E</m:t>
        </m:r>
        <m:d>
          <m:dPr>
            <m:begChr m:val="["/>
            <m:endChr m:val="]"/>
            <m:sepChr m:val=""/>
            <m:grow/>
          </m:dPr>
          <m:e>
            <m:sSub>
              <m:e>
                <m:r>
                  <m:t>Y</m:t>
                </m:r>
              </m:e>
              <m:sub>
                <m:r>
                  <m:rPr>
                    <m:sty m:val="p"/>
                  </m:rPr>
                  <m:t>s</m:t>
                </m:r>
              </m:sub>
            </m:sSub>
          </m:e>
        </m:d>
      </m:oMath>
      <w:r>
        <w:t xml:space="preserve"> </w:t>
      </w:r>
      <w:r>
        <w:t xml:space="preserve">is smaller per capita than</w:t>
      </w:r>
      <w:r>
        <w:t xml:space="preserve"> </w:t>
      </w:r>
      <m:oMath>
        <m:r>
          <m:rPr>
            <m:sty m:val="p"/>
            <m:scr m:val="double-struck"/>
          </m:rPr>
          <m:t>E</m:t>
        </m:r>
        <m:d>
          <m:dPr>
            <m:begChr m:val="["/>
            <m:endChr m:val="]"/>
            <m:sepChr m:val=""/>
            <m:grow/>
          </m:dPr>
          <m:e>
            <m:sSub>
              <m:e>
                <m:r>
                  <m:t>Y</m:t>
                </m:r>
              </m:e>
              <m:sub>
                <m:r>
                  <m:rPr>
                    <m:sty m:val="p"/>
                  </m:rPr>
                  <m:t>H</m:t>
                </m:r>
              </m:sub>
            </m:sSub>
          </m:e>
        </m:d>
      </m:oMath>
      <w:r>
        <w:t xml:space="preserve"> </w:t>
      </w:r>
      <w:r>
        <w:t xml:space="preserve">and larger in aggregate. The matrix therefore predicts the migration of the harvest from temple to search box on grounds of yield alone, and predicts that the search box will show the annual rhythm of the field in whatever form the harvest leaves it. Section 3 reports the form.</w:t>
      </w:r>
    </w:p>
    <w:bookmarkEnd w:id="34"/>
    <w:bookmarkEnd w:id="35"/>
    <w:bookmarkStart w:id="67" w:name="X8c2807c54f517c5fa2a7754b7b7dd07ea9a02ab"/>
    <w:p>
      <w:pPr>
        <w:pStyle w:val="Heading1"/>
      </w:pPr>
      <w:r>
        <w:t xml:space="preserve">Section 3. Empirical Results and Phase Alignment</w:t>
      </w:r>
    </w:p>
    <w:bookmarkStart w:id="45" w:name="data-vintages-and-provenance"/>
    <w:p>
      <w:pPr>
        <w:pStyle w:val="Heading2"/>
      </w:pPr>
      <w:r>
        <w:t xml:space="preserve">3.1 Data, vintages and provenance</w:t>
      </w:r>
    </w:p>
    <w:p>
      <w:pPr>
        <w:pStyle w:val="FirstParagraph"/>
      </w:pPr>
      <w:r>
        <w:rPr>
          <w:iCs/>
          <w:i/>
        </w:rPr>
        <w:t xml:space="preserve">Geomagnetic series.</w:t>
      </w:r>
      <w:r>
        <w:t xml:space="preserve"> </w:t>
      </w:r>
      <w:r>
        <w:t xml:space="preserve">Definitive</w:t>
      </w:r>
      <w:r>
        <w:t xml:space="preserve"> </w:t>
      </w:r>
      <m:oMath>
        <m:sSub>
          <m:e>
            <m:r>
              <m:t>K</m:t>
            </m:r>
          </m:e>
          <m:sub>
            <m:r>
              <m:t>p</m:t>
            </m:r>
          </m:sub>
        </m:sSub>
      </m:oMath>
      <w:r>
        <w:t xml:space="preserve">,</w:t>
      </w:r>
      <w:r>
        <w:t xml:space="preserve"> </w:t>
      </w:r>
      <m:oMath>
        <m:sSub>
          <m:e>
            <m:r>
              <m:t>a</m:t>
            </m:r>
          </m:e>
          <m:sub>
            <m:r>
              <m:t>p</m:t>
            </m:r>
          </m:sub>
        </m:sSub>
      </m:oMath>
      <w:r>
        <w:t xml:space="preserve"> </w:t>
      </w:r>
      <w:r>
        <w:t xml:space="preserve">and</w:t>
      </w:r>
      <w:r>
        <w:t xml:space="preserve"> </w:t>
      </w:r>
      <m:oMath>
        <m:sSub>
          <m:e>
            <m:r>
              <m:t>A</m:t>
            </m:r>
          </m:e>
          <m:sub>
            <m:r>
              <m:t>p</m:t>
            </m:r>
          </m:sub>
        </m:sSub>
      </m:oMath>
      <w:r>
        <w:t xml:space="preserve">, 1957-10-01 to 2025-07-20, parsed from the CSSI compilation (</w:t>
      </w:r>
      <w:r>
        <w:rPr>
          <w:rStyle w:val="VerbatimChar"/>
        </w:rPr>
        <w:t xml:space="preserve">parse_sw.py</w:t>
      </w:r>
      <w:r>
        <w:t xml:space="preserve">); the vintage subset 2004-01-01 to 2021-09-30 for the annual components; the window 25 October to 1 November 2021 for the event study.</w:t>
      </w:r>
    </w:p>
    <w:p>
      <w:pPr>
        <w:pStyle w:val="BodyText"/>
      </w:pPr>
      <w:r>
        <w:rPr>
          <w:iCs/>
          <w:i/>
        </w:rPr>
        <w:t xml:space="preserve">Annual components.</w:t>
      </w:r>
      <w:r>
        <w:t xml:space="preserve"> </w:t>
      </w:r>
      <w:r>
        <w:t xml:space="preserve">The source estimated both components with the additive-regression model of Taylor and Letham (2018) in multiplicative mode, in which</w:t>
      </w:r>
    </w:p>
    <w:p>
      <w:pPr>
        <w:pStyle w:val="BodyText"/>
      </w:pPr>
      <m:oMathPara>
        <m:oMathParaPr>
          <m:jc m:val="center"/>
        </m:oMathParaPr>
        <m:oMath>
          <m:r>
            <m:t>y</m:t>
          </m:r>
          <m:d>
            <m:dPr>
              <m:begChr m:val="("/>
              <m:endChr m:val=")"/>
              <m:sepChr m:val=""/>
              <m:grow/>
            </m:dPr>
            <m:e>
              <m:r>
                <m:t>t</m:t>
              </m:r>
            </m:e>
          </m:d>
          <m:r>
            <m:rPr>
              <m:sty m:val="p"/>
            </m:rPr>
            <m:t>=</m:t>
          </m:r>
          <m:r>
            <m:t>g</m:t>
          </m:r>
          <m:d>
            <m:dPr>
              <m:begChr m:val="("/>
              <m:endChr m:val=")"/>
              <m:sepChr m:val=""/>
              <m:grow/>
            </m:dPr>
            <m:e>
              <m:r>
                <m:t>t</m:t>
              </m:r>
            </m:e>
          </m:d>
          <m:r>
            <m:t> </m:t>
          </m:r>
          <m:d>
            <m:dPr>
              <m:begChr m:val="("/>
              <m:endChr m:val=")"/>
              <m:sepChr m:val=""/>
              <m:grow/>
            </m:dPr>
            <m:e>
              <m:r>
                <m:t>1</m:t>
              </m:r>
              <m:r>
                <m:rPr>
                  <m:sty m:val="p"/>
                </m:rPr>
                <m:t>+</m:t>
              </m:r>
              <m:r>
                <m:t>s</m:t>
              </m:r>
              <m:d>
                <m:dPr>
                  <m:begChr m:val="("/>
                  <m:endChr m:val=")"/>
                  <m:sepChr m:val=""/>
                  <m:grow/>
                </m:dPr>
                <m:e>
                  <m:r>
                    <m:t>t</m:t>
                  </m:r>
                </m:e>
              </m:d>
            </m:e>
          </m:d>
          <m:r>
            <m:rPr>
              <m:sty m:val="p"/>
            </m:rPr>
            <m:t>+</m:t>
          </m:r>
          <m:sSub>
            <m:e>
              <m:r>
                <m:t>ε</m:t>
              </m:r>
            </m:e>
            <m:sub>
              <m:r>
                <m:t>t</m:t>
              </m:r>
            </m:sub>
          </m:sSub>
          <m:r>
            <m:rPr>
              <m:sty m:val="p"/>
            </m:rPr>
            <m:t>,</m:t>
          </m:r>
          <m:r>
            <m:t>  </m:t>
          </m:r>
          <m:r>
            <m:t>s</m:t>
          </m:r>
          <m:d>
            <m:dPr>
              <m:begChr m:val="("/>
              <m:endChr m:val=")"/>
              <m:sepChr m:val=""/>
              <m:grow/>
            </m:dPr>
            <m:e>
              <m:r>
                <m:t>t</m:t>
              </m:r>
            </m:e>
          </m:d>
          <m:r>
            <m:rPr>
              <m:sty m:val="p"/>
            </m:rPr>
            <m:t>=</m:t>
          </m:r>
          <m:nary>
            <m:naryPr>
              <m:chr m:val="∑"/>
              <m:limLoc m:val="undOvr"/>
              <m:subHide m:val="off"/>
              <m:supHide m:val="off"/>
            </m:naryPr>
            <m:sub>
              <m:r>
                <m:t>n</m:t>
              </m:r>
              <m:r>
                <m:rPr>
                  <m:sty m:val="p"/>
                </m:rPr>
                <m:t>=</m:t>
              </m:r>
              <m:r>
                <m:t>1</m:t>
              </m:r>
            </m:sub>
            <m:sup>
              <m:r>
                <m:t>N</m:t>
              </m:r>
            </m:sup>
            <m:e>
              <m:d>
                <m:dPr>
                  <m:begChr m:val="["/>
                  <m:endChr m:val="]"/>
                  <m:sepChr m:val=""/>
                  <m:grow/>
                </m:dPr>
                <m:e>
                  <m:sSub>
                    <m:e>
                      <m:r>
                        <m:t>a</m:t>
                      </m:r>
                    </m:e>
                    <m:sub>
                      <m:r>
                        <m:t>n</m:t>
                      </m:r>
                    </m:sub>
                  </m:sSub>
                  <m:r>
                    <m:rPr>
                      <m:sty m:val="p"/>
                    </m:rPr>
                    <m:t>cos</m:t>
                  </m:r>
                  <m:f>
                    <m:fPr>
                      <m:type m:val="lin"/>
                    </m:fPr>
                    <m:num>
                      <m:r>
                        <m:t>2</m:t>
                      </m:r>
                      <m:r>
                        <m:t>π</m:t>
                      </m:r>
                      <m:r>
                        <m:t>n</m:t>
                      </m:r>
                      <m:r>
                        <m:t>t</m:t>
                      </m:r>
                    </m:num>
                    <m:den>
                      <m:r>
                        <m:t>P</m:t>
                      </m:r>
                    </m:den>
                  </m:f>
                  <m:r>
                    <m:rPr>
                      <m:sty m:val="p"/>
                    </m:rPr>
                    <m:t>+</m:t>
                  </m:r>
                  <m:sSub>
                    <m:e>
                      <m:r>
                        <m:t>b</m:t>
                      </m:r>
                    </m:e>
                    <m:sub>
                      <m:r>
                        <m:t>n</m:t>
                      </m:r>
                    </m:sub>
                  </m:sSub>
                  <m:r>
                    <m:rPr>
                      <m:sty m:val="p"/>
                    </m:rPr>
                    <m:t>sin</m:t>
                  </m:r>
                  <m:f>
                    <m:fPr>
                      <m:type m:val="lin"/>
                    </m:fPr>
                    <m:num>
                      <m:r>
                        <m:t>2</m:t>
                      </m:r>
                      <m:r>
                        <m:t>π</m:t>
                      </m:r>
                      <m:r>
                        <m:t>n</m:t>
                      </m:r>
                      <m:r>
                        <m:t>t</m:t>
                      </m:r>
                    </m:num>
                    <m:den>
                      <m:r>
                        <m:t>P</m:t>
                      </m:r>
                    </m:den>
                  </m:f>
                </m:e>
              </m:d>
            </m:e>
          </m:nary>
          <m:r>
            <m:rPr>
              <m:sty m:val="p"/>
            </m:rPr>
            <m:t>,</m:t>
          </m:r>
        </m:oMath>
      </m:oMathPara>
    </w:p>
    <w:p>
      <w:pPr>
        <w:pStyle w:val="FirstParagraph"/>
      </w:pPr>
      <w:r>
        <w:t xml:space="preserve">with</w:t>
      </w:r>
      <w:r>
        <w:t xml:space="preserve"> </w:t>
      </w:r>
      <m:oMath>
        <m:r>
          <m:t>P</m:t>
        </m:r>
        <m:r>
          <m:rPr>
            <m:sty m:val="p"/>
          </m:rPr>
          <m:t>=</m:t>
        </m:r>
        <m:r>
          <m:t>365.25</m:t>
        </m:r>
      </m:oMath>
      <w:r>
        <w:t xml:space="preserve"> </w:t>
      </w:r>
      <w:r>
        <w:t xml:space="preserve">d,</w:t>
      </w:r>
      <w:r>
        <w:t xml:space="preserve"> </w:t>
      </w:r>
      <m:oMath>
        <m:r>
          <m:t>N</m:t>
        </m:r>
        <m:r>
          <m:rPr>
            <m:sty m:val="p"/>
          </m:rPr>
          <m:t>=</m:t>
        </m:r>
        <m:r>
          <m:t>10</m:t>
        </m:r>
      </m:oMath>
      <w:r>
        <w:t xml:space="preserve"> </w:t>
      </w:r>
      <w:r>
        <w:t xml:space="preserve">and a Gaussian prior of scale 10 on the coefficients, and plotted</w:t>
      </w:r>
      <w:r>
        <w:t xml:space="preserve"> </w:t>
      </w:r>
      <m:oMath>
        <m:r>
          <m:t>s</m:t>
        </m:r>
        <m:d>
          <m:dPr>
            <m:begChr m:val="("/>
            <m:endChr m:val=")"/>
            <m:sepChr m:val=""/>
            <m:grow/>
          </m:dPr>
          <m:e>
            <m:r>
              <m:t>t</m:t>
            </m:r>
          </m:e>
        </m:d>
      </m:oMath>
      <w:r>
        <w:t xml:space="preserve"> </w:t>
      </w:r>
      <w:r>
        <w:t xml:space="preserve">in per cent of trend over a 365-day year (Figures 2 and 3). The search-interest source could not be reached from the computational environment of this reconstruction, so the two annual components were recovered from the source figures by pixel-to-data calibration (</w:t>
      </w:r>
      <w:r>
        <w:rPr>
          <w:rStyle w:val="VerbatimChar"/>
        </w:rPr>
        <w:t xml:space="preserve">digitise.py</w:t>
      </w:r>
      <w:r>
        <w:t xml:space="preserve">): the gridlines of each panel were detected and fitted to their tick values (calibration residual</w:t>
      </w:r>
      <w:r>
        <w:t xml:space="preserve"> </w:t>
      </w:r>
      <m:oMath>
        <m:r>
          <m:rPr>
            <m:sty m:val="p"/>
          </m:rPr>
          <m:t>≤</m:t>
        </m:r>
        <m:r>
          <m:t>0.35</m:t>
        </m:r>
      </m:oMath>
      <w:r>
        <w:t xml:space="preserve"> </w:t>
      </w:r>
      <w:r>
        <w:t xml:space="preserve">d on the abscissa and</w:t>
      </w:r>
      <w:r>
        <w:t xml:space="preserve"> </w:t>
      </w:r>
      <m:oMath>
        <m:r>
          <m:rPr>
            <m:sty m:val="p"/>
          </m:rPr>
          <m:t>≤</m:t>
        </m:r>
        <m:r>
          <m:t>1.1</m:t>
        </m:r>
      </m:oMath>
      <w:r>
        <w:t xml:space="preserve"> </w:t>
      </w:r>
      <w:r>
        <w:t xml:space="preserve">% on the ordinate), the curve was traced column by column, columns occupied by the author’s marker lines were treated as gaps, and the result was interpolated onto the day-of-year grid (coverage 73–92 % before interpolation). Two renderings exist in the source: the September 2021 vintage figure (Figure 2;</w:t>
      </w:r>
      <w:r>
        <w:t xml:space="preserve"> </w:t>
      </w:r>
      <w:r>
        <w:rPr>
          <w:iCs/>
          <w:i/>
        </w:rPr>
        <w:t xml:space="preserve">UFO</w:t>
      </w:r>
      <w:r>
        <w:t xml:space="preserve"> </w:t>
      </w:r>
      <w:r>
        <w:t xml:space="preserve">component within</w:t>
      </w:r>
      <w:r>
        <w:t xml:space="preserve"> </w:t>
      </w:r>
      <m:oMath>
        <m:r>
          <m:rPr>
            <m:sty m:val="p"/>
          </m:rPr>
          <m:t>±</m:t>
        </m:r>
        <m:r>
          <m:t>25</m:t>
        </m:r>
      </m:oMath>
      <w:r>
        <w:t xml:space="preserve"> </w:t>
      </w:r>
      <w:r>
        <w:t xml:space="preserve">%) and the pairing figure (Figure 3;</w:t>
      </w:r>
      <w:r>
        <w:t xml:space="preserve"> </w:t>
      </w:r>
      <w:r>
        <w:rPr>
          <w:iCs/>
          <w:i/>
        </w:rPr>
        <w:t xml:space="preserve">UFO</w:t>
      </w:r>
      <w:r>
        <w:t xml:space="preserve"> </w:t>
      </w:r>
      <w:r>
        <w:t xml:space="preserve">within</w:t>
      </w:r>
      <w:r>
        <w:t xml:space="preserve"> </w:t>
      </w:r>
      <m:oMath>
        <m:r>
          <m:rPr>
            <m:sty m:val="p"/>
          </m:rPr>
          <m:t>±</m:t>
        </m:r>
        <m:r>
          <m:t>235</m:t>
        </m:r>
      </m:oMath>
      <w:r>
        <w:t xml:space="preserve"> </w:t>
      </w:r>
      <w:r>
        <w:t xml:space="preserve">%, the geomagnetic panel identical in shape). We carry both throughout and label them</w:t>
      </w:r>
      <w:r>
        <w:t xml:space="preserve"> </w:t>
      </w:r>
      <w:r>
        <w:rPr>
          <w:iCs/>
          <w:i/>
        </w:rPr>
        <w:t xml:space="preserve">fig4</w:t>
      </w:r>
      <w:r>
        <w:t xml:space="preserve"> </w:t>
      </w:r>
      <w:r>
        <w:t xml:space="preserve">and</w:t>
      </w:r>
      <w:r>
        <w:t xml:space="preserve"> </w:t>
      </w:r>
      <w:r>
        <w:rPr>
          <w:iCs/>
          <w:i/>
        </w:rPr>
        <w:t xml:space="preserve">fig5</w:t>
      </w:r>
      <w:r>
        <w:t xml:space="preserve"> </w:t>
      </w:r>
      <w:r>
        <w:t xml:space="preserve">in the code.</w:t>
      </w:r>
    </w:p>
    <w:p>
      <w:pPr>
        <w:pStyle w:val="BodyText"/>
      </w:pPr>
      <w:r>
        <w:t xml:space="preserve">Projecting each recovered curve back onto the order-10 Fourier basis explains 99.78–99.997 % of its variance (</w:t>
      </w:r>
      <m:oMath>
        <m:sSup>
          <m:e>
            <m:r>
              <m:t>R</m:t>
            </m:r>
          </m:e>
          <m:sup>
            <m:r>
              <m:t>2</m:t>
            </m:r>
          </m:sup>
        </m:sSup>
      </m:oMath>
      <w:r>
        <w:t xml:space="preserve"> </w:t>
      </w:r>
      <w:r>
        <w:t xml:space="preserve">in Table 3), which is what a curve that</w:t>
      </w:r>
      <w:r>
        <w:t xml:space="preserve"> </w:t>
      </w:r>
      <w:r>
        <w:rPr>
          <w:iCs/>
          <w:i/>
        </w:rPr>
        <w:t xml:space="preserve">is</w:t>
      </w:r>
      <w:r>
        <w:t xml:space="preserve"> </w:t>
      </w:r>
      <w:r>
        <w:t xml:space="preserve">an order-10 Fourier series should do, and which rules out the digitisation as a source of structure at any order the analysis uses.</w:t>
      </w:r>
    </w:p>
    <w:p>
      <w:pPr>
        <w:pStyle w:val="BodyText"/>
      </w:pPr>
      <w:r>
        <w:rPr>
          <w:iCs/>
          <w:i/>
        </w:rPr>
        <w:t xml:space="preserve">Validation.</w:t>
      </w:r>
      <w:r>
        <w:t xml:space="preserve"> </w:t>
      </w:r>
      <w:r>
        <w:t xml:space="preserve">The geomagnetic component was recomputed on the definitive series with the same model (Prophet, multiplicative, yearly order 10, vintage window). The recomputed curve correlates at</w:t>
      </w:r>
      <w:r>
        <w:t xml:space="preserve"> </w:t>
      </w:r>
      <m:oMath>
        <m:r>
          <m:t>r</m:t>
        </m:r>
        <m:r>
          <m:rPr>
            <m:sty m:val="p"/>
          </m:rPr>
          <m:t>=</m:t>
        </m:r>
        <m:r>
          <m:t>0.990</m:t>
        </m:r>
      </m:oMath>
      <w:r>
        <w:t xml:space="preserve"> </w:t>
      </w:r>
      <w:r>
        <w:t xml:space="preserve">with the digitised geomagnetic panel of Figure 2 and at</w:t>
      </w:r>
      <w:r>
        <w:t xml:space="preserve"> </w:t>
      </w:r>
      <m:oMath>
        <m:r>
          <m:t>r</m:t>
        </m:r>
        <m:r>
          <m:rPr>
            <m:sty m:val="p"/>
          </m:rPr>
          <m:t>=</m:t>
        </m:r>
        <m:r>
          <m:t>0.952</m:t>
        </m:r>
      </m:oMath>
      <w:r>
        <w:t xml:space="preserve"> </w:t>
      </w:r>
      <w:r>
        <w:t xml:space="preserve">with that of Figure 3 (Figure 4). Its amplitude is one quarter of the author’s: the definitive component spans</w:t>
      </w:r>
      <w:r>
        <w:t xml:space="preserve"> </w:t>
      </w:r>
      <m:oMath>
        <m:r>
          <m:rPr>
            <m:sty m:val="p"/>
          </m:rPr>
          <m:t>−</m:t>
        </m:r>
        <m:r>
          <m:t>27</m:t>
        </m:r>
      </m:oMath>
      <w:r>
        <w:t xml:space="preserve"> </w:t>
      </w:r>
      <w:r>
        <w:t xml:space="preserve">% to</w:t>
      </w:r>
      <w:r>
        <w:t xml:space="preserve"> </w:t>
      </w:r>
      <m:oMath>
        <m:r>
          <m:rPr>
            <m:sty m:val="p"/>
          </m:rPr>
          <m:t>+</m:t>
        </m:r>
        <m:r>
          <m:t>34</m:t>
        </m:r>
      </m:oMath>
      <w:r>
        <w:t xml:space="preserve"> </w:t>
      </w:r>
      <w:r>
        <w:t xml:space="preserve">% of trend, the author’s panels</w:t>
      </w:r>
      <w:r>
        <w:t xml:space="preserve"> </w:t>
      </w:r>
      <m:oMath>
        <m:r>
          <m:rPr>
            <m:sty m:val="p"/>
          </m:rPr>
          <m:t>−</m:t>
        </m:r>
        <m:r>
          <m:t>114</m:t>
        </m:r>
      </m:oMath>
      <w:r>
        <w:t xml:space="preserve"> </w:t>
      </w:r>
      <w:r>
        <w:t xml:space="preserve">% to</w:t>
      </w:r>
      <w:r>
        <w:t xml:space="preserve"> </w:t>
      </w:r>
      <m:oMath>
        <m:r>
          <m:rPr>
            <m:sty m:val="p"/>
          </m:rPr>
          <m:t>+</m:t>
        </m:r>
        <m:r>
          <m:t>146</m:t>
        </m:r>
      </m:oMath>
      <w:r>
        <w:t xml:space="preserve"> </w:t>
      </w:r>
      <w:r>
        <w:t xml:space="preserve">%. The shape is reproduced; the scale is not; and since every statistic below is scale-invariant (normalised inner products, phases, extremum locations, ranks), the discrepancy is immaterial to the results and is recorded here for completeness. A component that reaches</w:t>
      </w:r>
      <w:r>
        <w:t xml:space="preserve"> </w:t>
      </w:r>
      <m:oMath>
        <m:r>
          <m:rPr>
            <m:sty m:val="p"/>
          </m:rPr>
          <m:t>−</m:t>
        </m:r>
        <m:r>
          <m:t>100</m:t>
        </m:r>
      </m:oMath>
      <w:r>
        <w:t xml:space="preserve"> </w:t>
      </w:r>
      <w:r>
        <w:t xml:space="preserve">% of trend would predict a geomagnetically silent planet in late November; the definitive series predicts a quiet one.</w:t>
      </w:r>
    </w:p>
    <w:p>
      <w:pPr>
        <w:pStyle w:val="BodyText"/>
      </w:pPr>
      <w:r>
        <w:rPr>
          <w:iCs/>
          <w:i/>
        </w:rPr>
        <w:t xml:space="preserve">Event window.</w:t>
      </w:r>
      <w:r>
        <w:t xml:space="preserve"> </w:t>
      </w:r>
      <w:r>
        <w:t xml:space="preserve">The worldwide hourly series for the trailing seven days was recovered from the source screenshot (Figure 8) by the same method, anchored on the circled maximum, which the screenshot’s tooltip dates to 31 October 2021 at 06:00 in the observer’s local time. The observer’s console was at UTC+3 (Moscow; no seasonal shift), so the series runs from 24 October 12:00 UT to 31 October 12:00 UT in 169 hourly points, of which 15 (on 30 October, 09:00–23:00 UT) are occluded by the tooltip in the screenshot and were linearly interpolated. A single-hour excursion to roughly 10–20 at 14:00 UT on 30 October is visible beneath the tooltip and is treated as a data-pipeline transient; a collective affective collapse of one hour’s duration cannot be excluded but is not required.</w:t>
      </w:r>
    </w:p>
    <w:p>
      <w:pPr>
        <w:pStyle w:val="CaptionedFigure"/>
      </w:pPr>
      <w:r>
        <w:drawing>
          <wp:inline>
            <wp:extent cx="5334000" cy="2673520"/>
            <wp:effectExtent b="0" l="0" r="0" t="0"/>
            <wp:docPr descr="The source’s September 2021 vintage figure: order-10 annual components of worldwide UFO search interest (upper panel) and of Ap (lower panel), data from 2004; the author’s vertical marker lines pair extrema at zero lag. Digitised as fig4." title="" id="37" name="Picture"/>
            <a:graphic>
              <a:graphicData uri="http://schemas.openxmlformats.org/drawingml/2006/picture">
                <pic:pic>
                  <pic:nvPicPr>
                    <pic:cNvPr descr="fig_src_components.png" id="38" name="Picture"/>
                    <pic:cNvPicPr>
                      <a:picLocks noChangeArrowheads="1" noChangeAspect="1"/>
                    </pic:cNvPicPr>
                  </pic:nvPicPr>
                  <pic:blipFill>
                    <a:blip r:embed="rId36"/>
                    <a:stretch>
                      <a:fillRect/>
                    </a:stretch>
                  </pic:blipFill>
                  <pic:spPr bwMode="auto">
                    <a:xfrm>
                      <a:off x="0" y="0"/>
                      <a:ext cx="5334000" cy="2673520"/>
                    </a:xfrm>
                    <a:prstGeom prst="rect">
                      <a:avLst/>
                    </a:prstGeom>
                    <a:noFill/>
                    <a:ln w="9525">
                      <a:noFill/>
                      <a:headEnd/>
                      <a:tailEnd/>
                    </a:ln>
                  </pic:spPr>
                </pic:pic>
              </a:graphicData>
            </a:graphic>
          </wp:inline>
        </w:drawing>
      </w:r>
    </w:p>
    <w:p>
      <w:pPr>
        <w:pStyle w:val="ImageCaption"/>
      </w:pPr>
      <w:r>
        <w:t xml:space="preserve">The source’s September 2021 vintage figure: order-10 annual components of worldwide</w:t>
      </w:r>
      <w:r>
        <w:t xml:space="preserve"> </w:t>
      </w:r>
      <w:r>
        <w:rPr>
          <w:iCs/>
          <w:i/>
        </w:rPr>
        <w:t xml:space="preserve">UFO</w:t>
      </w:r>
      <w:r>
        <w:t xml:space="preserve"> </w:t>
      </w:r>
      <w:r>
        <w:t xml:space="preserve">search interest (upper panel) and of Ap (lower panel), data from 2004; the author’s vertical marker lines pair extrema at zero lag. Digitised as</w:t>
      </w:r>
      <w:r>
        <w:t xml:space="preserve"> </w:t>
      </w:r>
      <w:r>
        <w:rPr>
          <w:iCs/>
          <w:i/>
        </w:rPr>
        <w:t xml:space="preserve">fig4</w:t>
      </w:r>
      <w:r>
        <w:t xml:space="preserve">.</w:t>
      </w:r>
    </w:p>
    <w:p>
      <w:pPr>
        <w:pStyle w:val="CaptionedFigure"/>
      </w:pPr>
      <w:r>
        <w:drawing>
          <wp:inline>
            <wp:extent cx="4267200" cy="3241844"/>
            <wp:effectExtent b="0" l="0" r="0" t="0"/>
            <wp:docPr descr="The source’s pairing figure: the same components with the author’s slanted pairing lines, which assert a geomagnetic lead of two to three weeks; the highlighted geomagnetic maximum lies in the second week of November. Digitised as fig5." title="" id="40" name="Picture"/>
            <a:graphic>
              <a:graphicData uri="http://schemas.openxmlformats.org/drawingml/2006/picture">
                <pic:pic>
                  <pic:nvPicPr>
                    <pic:cNvPr descr="fig_src_pairings.png" id="41" name="Picture"/>
                    <pic:cNvPicPr>
                      <a:picLocks noChangeArrowheads="1" noChangeAspect="1"/>
                    </pic:cNvPicPr>
                  </pic:nvPicPr>
                  <pic:blipFill>
                    <a:blip r:embed="rId39"/>
                    <a:stretch>
                      <a:fillRect/>
                    </a:stretch>
                  </pic:blipFill>
                  <pic:spPr bwMode="auto">
                    <a:xfrm>
                      <a:off x="0" y="0"/>
                      <a:ext cx="4267200" cy="3241844"/>
                    </a:xfrm>
                    <a:prstGeom prst="rect">
                      <a:avLst/>
                    </a:prstGeom>
                    <a:noFill/>
                    <a:ln w="9525">
                      <a:noFill/>
                      <a:headEnd/>
                      <a:tailEnd/>
                    </a:ln>
                  </pic:spPr>
                </pic:pic>
              </a:graphicData>
            </a:graphic>
          </wp:inline>
        </w:drawing>
      </w:r>
    </w:p>
    <w:p>
      <w:pPr>
        <w:pStyle w:val="ImageCaption"/>
      </w:pPr>
      <w:r>
        <w:t xml:space="preserve">The source’s pairing figure: the same components with the author’s slanted pairing lines, which assert a geomagnetic lead of two to three weeks; the highlighted geomagnetic maximum lies in the second week of November. Digitised as</w:t>
      </w:r>
      <w:r>
        <w:t xml:space="preserve"> </w:t>
      </w:r>
      <w:r>
        <w:rPr>
          <w:iCs/>
          <w:i/>
        </w:rPr>
        <w:t xml:space="preserve">fig5</w:t>
      </w:r>
      <w:r>
        <w:t xml:space="preserve">.</w:t>
      </w:r>
    </w:p>
    <w:p>
      <w:pPr>
        <w:pStyle w:val="CaptionedFigure"/>
      </w:pPr>
      <w:r>
        <w:drawing>
          <wp:inline>
            <wp:extent cx="5334000" cy="4267200"/>
            <wp:effectExtent b="0" l="0" r="0" t="0"/>
            <wp:docPr descr="Annual components on the 365-day grid. Upper panel: UFO search interest (author’s pairing figure, digitised). Lower panel: Ap as digitised from the author’s figure and as recomputed on the definitive GFZ series with the same model; r = 0.95 in shape, amplitude ratio about 4." title="" id="43" name="Picture"/>
            <a:graphic>
              <a:graphicData uri="http://schemas.openxmlformats.org/drawingml/2006/picture">
                <pic:pic>
                  <pic:nvPicPr>
                    <pic:cNvPr descr="fig_S1_components.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Annual components on the 365-day grid. Upper panel:</w:t>
      </w:r>
      <w:r>
        <w:t xml:space="preserve"> </w:t>
      </w:r>
      <w:r>
        <w:rPr>
          <w:iCs/>
          <w:i/>
        </w:rPr>
        <w:t xml:space="preserve">UFO</w:t>
      </w:r>
      <w:r>
        <w:t xml:space="preserve"> </w:t>
      </w:r>
      <w:r>
        <w:t xml:space="preserve">search interest (author’s pairing figure, digitised). Lower panel: Ap as digitised from the author’s figure and as recomputed on the definitive GFZ series with the same model; r = 0.95 in shape, amplitude ratio about 4.</w:t>
      </w:r>
    </w:p>
    <w:bookmarkEnd w:id="45"/>
    <w:bookmarkStart w:id="49" w:name="X34f754245ca78b984486fedfc1f39881f902bef"/>
    <w:p>
      <w:pPr>
        <w:pStyle w:val="Heading2"/>
      </w:pPr>
      <w:r>
        <w:t xml:space="preserve">3.2 The festival in the climatology and in the annual component</w:t>
      </w:r>
    </w:p>
    <w:p>
      <w:pPr>
        <w:pStyle w:val="FirstParagraph"/>
      </w:pPr>
      <w:r>
        <w:t xml:space="preserve">Table 2 locates 31 October in the day-of-year climatology of</w:t>
      </w:r>
      <w:r>
        <w:t xml:space="preserve"> </w:t>
      </w:r>
      <m:oMath>
        <m:sSub>
          <m:e>
            <m:r>
              <m:t>A</m:t>
            </m:r>
          </m:e>
          <m:sub>
            <m:r>
              <m:t>p</m:t>
            </m:r>
          </m:sub>
        </m:sSub>
      </m:oMath>
      <w:r>
        <w:t xml:space="preserve">, computed as the mean over years of the daily index with 29 February folded onto 28 February, and tests the five-day window 29 October – 2 November against 20,000 random five-day windows of the same climatology.</w:t>
      </w:r>
    </w:p>
    <w:p>
      <w:pPr>
        <w:pStyle w:val="TableCaption"/>
      </w:pPr>
      <w:r>
        <w:t xml:space="preserve">The festival in the day-of-year climatology of Ap. The permutation p is the share of random five-day windows whose climatological mean equals or exceeds that of the festival window.</w:t>
      </w:r>
    </w:p>
    <w:tbl>
      <w:tblPr>
        <w:tblStyle w:val="Table"/>
        <w:tblW w:type="pct" w:w="5000"/>
        <w:tblLook w:firstRow="1" w:lastRow="0" w:firstColumn="0" w:lastColumn="0" w:noHBand="0" w:noVBand="0" w:val="0020"/>
        <w:jc w:val="start"/>
        <w:tblCaption w:val="The festival in the day-of-year climatology of Ap. The permutation p is the share of random five-day windows whose climatological mean equals or exceeds that of the festival window."/>
      </w:tblPr>
      <w:tblGrid>
        <w:gridCol w:w="1320"/>
        <w:gridCol w:w="1320"/>
        <w:gridCol w:w="1320"/>
        <w:gridCol w:w="1320"/>
        <w:gridCol w:w="1320"/>
        <w:gridCol w:w="1320"/>
      </w:tblGrid>
      <w:tr>
        <w:trPr>
          <w:tblHeader w:val="true"/>
        </w:trPr>
        <w:tc>
          <w:tcPr/>
          <w:p>
            <w:pPr>
              <w:pStyle w:val="Compact"/>
              <w:jc w:val="left"/>
            </w:pPr>
            <w:r>
              <w:t xml:space="preserve">Record</w:t>
            </w:r>
          </w:p>
        </w:tc>
        <w:tc>
          <w:tcPr/>
          <w:p>
            <w:pPr>
              <w:pStyle w:val="Compact"/>
              <w:jc w:val="right"/>
            </w:pPr>
            <w:r>
              <w:t xml:space="preserve">Mean</w:t>
            </w:r>
            <w:r>
              <w:t xml:space="preserve"> </w:t>
            </w:r>
            <m:oMath>
              <m:sSub>
                <m:e>
                  <m:r>
                    <m:t>A</m:t>
                  </m:r>
                </m:e>
                <m:sub>
                  <m:r>
                    <m:t>p</m:t>
                  </m:r>
                </m:sub>
              </m:sSub>
            </m:oMath>
          </w:p>
        </w:tc>
        <w:tc>
          <w:tcPr/>
          <w:p>
            <w:pPr>
              <w:pStyle w:val="Compact"/>
              <w:jc w:val="right"/>
            </w:pPr>
            <m:oMath>
              <m:sSub>
                <m:e>
                  <m:r>
                    <m:t>A</m:t>
                  </m:r>
                </m:e>
                <m:sub>
                  <m:r>
                    <m:t>p</m:t>
                  </m:r>
                </m:sub>
              </m:sSub>
            </m:oMath>
            <w:r>
              <w:t xml:space="preserve"> </w:t>
            </w:r>
            <w:r>
              <w:t xml:space="preserve">on 31 Oct</w:t>
            </w:r>
          </w:p>
        </w:tc>
        <w:tc>
          <w:tcPr/>
          <w:p>
            <w:pPr>
              <w:pStyle w:val="Compact"/>
              <w:jc w:val="right"/>
            </w:pPr>
            <w:r>
              <w:t xml:space="preserve">Percentile of 31 Oct among 365 days</w:t>
            </w:r>
          </w:p>
        </w:tc>
        <w:tc>
          <w:tcPr/>
          <w:p>
            <w:pPr>
              <w:pStyle w:val="Compact"/>
              <w:jc w:val="right"/>
            </w:pPr>
            <w:r>
              <w:t xml:space="preserve">Window 29 Oct–2 Nov, mean</w:t>
            </w:r>
          </w:p>
        </w:tc>
        <w:tc>
          <w:tcPr/>
          <w:p>
            <w:pPr>
              <w:pStyle w:val="Compact"/>
              <w:jc w:val="right"/>
            </w:pPr>
            <w:r>
              <w:t xml:space="preserve">Permutation</w:t>
            </w:r>
            <w:r>
              <w:t xml:space="preserve"> </w:t>
            </w:r>
            <m:oMath>
              <m:r>
                <m:t>p</m:t>
              </m:r>
            </m:oMath>
          </w:p>
        </w:tc>
      </w:tr>
      <w:tr>
        <w:tc>
          <w:tcPr/>
          <w:p>
            <w:pPr>
              <w:pStyle w:val="Compact"/>
              <w:jc w:val="left"/>
            </w:pPr>
            <w:r>
              <w:t xml:space="preserve">Vintage, 2004 – Sept 2021</w:t>
            </w:r>
          </w:p>
        </w:tc>
        <w:tc>
          <w:tcPr/>
          <w:p>
            <w:pPr>
              <w:pStyle w:val="Compact"/>
              <w:jc w:val="right"/>
            </w:pPr>
            <w:r>
              <w:t xml:space="preserve">8.33</w:t>
            </w:r>
          </w:p>
        </w:tc>
        <w:tc>
          <w:tcPr/>
          <w:p>
            <w:pPr>
              <w:pStyle w:val="Compact"/>
              <w:jc w:val="right"/>
            </w:pPr>
            <w:r>
              <w:t xml:space="preserve">6.24</w:t>
            </w:r>
          </w:p>
        </w:tc>
        <w:tc>
          <w:tcPr/>
          <w:p>
            <w:pPr>
              <w:pStyle w:val="Compact"/>
              <w:jc w:val="right"/>
            </w:pPr>
            <w:r>
              <w:t xml:space="preserve">17 (rank 301)</w:t>
            </w:r>
          </w:p>
        </w:tc>
        <w:tc>
          <w:tcPr/>
          <w:p>
            <w:pPr>
              <w:pStyle w:val="Compact"/>
              <w:jc w:val="right"/>
            </w:pPr>
            <w:r>
              <w:t xml:space="preserve">6.91</w:t>
            </w:r>
          </w:p>
        </w:tc>
        <w:tc>
          <w:tcPr/>
          <w:p>
            <w:pPr>
              <w:pStyle w:val="Compact"/>
              <w:jc w:val="right"/>
            </w:pPr>
            <w:r>
              <w:t xml:space="preserve">0.82</w:t>
            </w:r>
          </w:p>
        </w:tc>
      </w:tr>
      <w:tr>
        <w:tc>
          <w:tcPr/>
          <w:p>
            <w:pPr>
              <w:pStyle w:val="Compact"/>
              <w:jc w:val="left"/>
            </w:pPr>
            <w:r>
              <w:t xml:space="preserve">Full record, 1957–2025</w:t>
            </w:r>
          </w:p>
        </w:tc>
        <w:tc>
          <w:tcPr/>
          <w:p>
            <w:pPr>
              <w:pStyle w:val="Compact"/>
              <w:jc w:val="right"/>
            </w:pPr>
            <w:r>
              <w:t xml:space="preserve">12.83</w:t>
            </w:r>
          </w:p>
        </w:tc>
        <w:tc>
          <w:tcPr/>
          <w:p>
            <w:pPr>
              <w:pStyle w:val="Compact"/>
              <w:jc w:val="right"/>
            </w:pPr>
            <w:r>
              <w:t xml:space="preserve">15.32</w:t>
            </w:r>
          </w:p>
        </w:tc>
        <w:tc>
          <w:tcPr/>
          <w:p>
            <w:pPr>
              <w:pStyle w:val="Compact"/>
              <w:jc w:val="right"/>
            </w:pPr>
            <w:r>
              <w:t xml:space="preserve">88 (rank 44)</w:t>
            </w:r>
          </w:p>
        </w:tc>
        <w:tc>
          <w:tcPr/>
          <w:p>
            <w:pPr>
              <w:pStyle w:val="Compact"/>
              <w:jc w:val="right"/>
            </w:pPr>
            <w:r>
              <w:t xml:space="preserve">16.06</w:t>
            </w:r>
          </w:p>
        </w:tc>
        <w:tc>
          <w:tcPr/>
          <w:p>
            <w:pPr>
              <w:pStyle w:val="Compact"/>
              <w:jc w:val="right"/>
            </w:pPr>
            <w:r>
              <w:t xml:space="preserve">0.040</w:t>
            </w:r>
          </w:p>
        </w:tc>
      </w:tr>
      <w:tr>
        <w:tc>
          <w:tcPr/>
          <w:p>
            <w:pPr>
              <w:pStyle w:val="Compact"/>
              <w:jc w:val="left"/>
            </w:pPr>
            <w:r>
              <w:t xml:space="preserve">Full record without 2003</w:t>
            </w:r>
          </w:p>
        </w:tc>
        <w:tc>
          <w:tcPr/>
          <w:p>
            <w:pPr>
              <w:pStyle w:val="Compact"/>
              <w:jc w:val="right"/>
            </w:pPr>
            <w:r>
              <w:t xml:space="preserve">12.70</w:t>
            </w:r>
          </w:p>
        </w:tc>
        <w:tc>
          <w:tcPr/>
          <w:p>
            <w:pPr>
              <w:pStyle w:val="Compact"/>
              <w:jc w:val="right"/>
            </w:pPr>
            <w:r>
              <w:t xml:space="preserve">13.82</w:t>
            </w:r>
          </w:p>
        </w:tc>
        <w:tc>
          <w:tcPr/>
          <w:p>
            <w:pPr>
              <w:pStyle w:val="Compact"/>
              <w:jc w:val="right"/>
            </w:pPr>
            <w:r>
              <w:t xml:space="preserve">70</w:t>
            </w:r>
          </w:p>
        </w:tc>
        <w:tc>
          <w:tcPr/>
          <w:p>
            <w:pPr>
              <w:pStyle w:val="Compact"/>
              <w:jc w:val="right"/>
            </w:pPr>
            <w:r>
              <w:t xml:space="preserve">14.64</w:t>
            </w:r>
          </w:p>
        </w:tc>
        <w:tc>
          <w:tcPr/>
          <w:p>
            <w:pPr>
              <w:pStyle w:val="Compact"/>
              <w:jc w:val="right"/>
            </w:pPr>
            <w:r>
              <w:t xml:space="preserve">0.139</w:t>
            </w:r>
          </w:p>
        </w:tc>
      </w:tr>
    </w:tbl>
    <w:p>
      <w:pPr>
        <w:pStyle w:val="BodyText"/>
      </w:pPr>
      <w:r>
        <w:t xml:space="preserve">Within the source’s own window the festival is a quiet date: the 31 October mean of 6.24 nT sits at the 17th percentile of the year, and the festival window is exceeded by 82 % of random windows. On the full record it is an active date, at the 88th percentile with a window</w:t>
      </w:r>
      <w:r>
        <w:t xml:space="preserve"> </w:t>
      </w:r>
      <m:oMath>
        <m:r>
          <m:t>p</m:t>
        </m:r>
      </m:oMath>
      <w:r>
        <w:t xml:space="preserve"> </w:t>
      </w:r>
      <w:r>
        <w:t xml:space="preserve">of 0.040, and the activity is the Halloween storms of 2003 (</w:t>
      </w:r>
      <m:oMath>
        <m:sSub>
          <m:e>
            <m:r>
              <m:t>A</m:t>
            </m:r>
          </m:e>
          <m:sub>
            <m:r>
              <m:t>p</m:t>
            </m:r>
          </m:sub>
        </m:sSub>
        <m:r>
          <m:rPr>
            <m:sty m:val="p"/>
          </m:rPr>
          <m:t>=</m:t>
        </m:r>
        <m:r>
          <m:t>204</m:t>
        </m:r>
      </m:oMath>
      <w:r>
        <w:t xml:space="preserve"> </w:t>
      </w:r>
      <w:r>
        <w:t xml:space="preserve">on 29 October, 191 on 30 October, 116 on 31 October), which lie outside the vintage and which, removed, leave the festival at the 70th percentile with</w:t>
      </w:r>
      <w:r>
        <w:t xml:space="preserve"> </w:t>
      </w:r>
      <m:oMath>
        <m:r>
          <m:t>p</m:t>
        </m:r>
        <m:r>
          <m:rPr>
            <m:sty m:val="p"/>
          </m:rPr>
          <m:t>=</m:t>
        </m:r>
        <m:r>
          <m:t>0.139</m:t>
        </m:r>
      </m:oMath>
      <w:r>
        <w:t xml:space="preserve">. Across 1958–2024 the daily index on 31 October exceeds its own year’s median in 49.3 % of years. The festival, in short, is elevated in the record that contains 2003 and only there.</w:t>
      </w:r>
    </w:p>
    <w:p>
      <w:pPr>
        <w:pStyle w:val="BodyText"/>
      </w:pPr>
      <w:r>
        <w:t xml:space="preserve">The annual component tells the same story at the resolution of the model. The definitive component is</w:t>
      </w:r>
      <w:r>
        <w:t xml:space="preserve"> </w:t>
      </w:r>
      <m:oMath>
        <m:r>
          <m:rPr>
            <m:sty m:val="p"/>
          </m:rPr>
          <m:t>+</m:t>
        </m:r>
        <m:r>
          <m:t>5.3</m:t>
        </m:r>
      </m:oMath>
      <w:r>
        <w:t xml:space="preserve"> </w:t>
      </w:r>
      <w:r>
        <w:t xml:space="preserve">% of trend on 31 October (rank 125 of 365) and reaches its local maximum nine days later, on 9 November, at</w:t>
      </w:r>
      <w:r>
        <w:t xml:space="preserve"> </w:t>
      </w:r>
      <m:oMath>
        <m:r>
          <m:rPr>
            <m:sty m:val="p"/>
          </m:rPr>
          <m:t>+</m:t>
        </m:r>
        <m:r>
          <m:t>16.6</m:t>
        </m:r>
      </m:oMath>
      <w:r>
        <w:t xml:space="preserve"> </w:t>
      </w:r>
      <w:r>
        <w:t xml:space="preserve">%; its seven maxima fall on 23 January, 6 March, 12 June, 23 July, 4 September, 9 November and 21 December. The author’s panels put the same maximum on 10 November (Figure 2, with</w:t>
      </w:r>
      <w:r>
        <w:t xml:space="preserve"> </w:t>
      </w:r>
      <m:oMath>
        <m:r>
          <m:rPr>
            <m:sty m:val="p"/>
          </m:rPr>
          <m:t>+</m:t>
        </m:r>
        <m:r>
          <m:t>36</m:t>
        </m:r>
      </m:oMath>
      <w:r>
        <w:t xml:space="preserve"> </w:t>
      </w:r>
      <w:r>
        <w:t xml:space="preserve">% on the festival itself, the curve being on its rising flank) and 8 November (Figure 3,</w:t>
      </w:r>
      <w:r>
        <w:t xml:space="preserve"> </w:t>
      </w:r>
      <m:oMath>
        <m:r>
          <m:rPr>
            <m:sty m:val="p"/>
          </m:rPr>
          <m:t>+</m:t>
        </m:r>
        <m:r>
          <m:t>2.7</m:t>
        </m:r>
      </m:oMath>
      <w:r>
        <w:t xml:space="preserve"> </w:t>
      </w:r>
      <w:r>
        <w:t xml:space="preserve">% on the festival). The</w:t>
      </w:r>
      <w:r>
        <w:t xml:space="preserve"> </w:t>
      </w:r>
      <w:r>
        <w:rPr>
          <w:iCs/>
          <w:i/>
        </w:rPr>
        <w:t xml:space="preserve">UFO</w:t>
      </w:r>
      <w:r>
        <w:t xml:space="preserve"> </w:t>
      </w:r>
      <w:r>
        <w:t xml:space="preserve">component is at its annual mean on the festival (</w:t>
      </w:r>
      <m:oMath>
        <m:r>
          <m:rPr>
            <m:sty m:val="p"/>
          </m:rPr>
          <m:t>−</m:t>
        </m:r>
        <m:r>
          <m:t>2.6</m:t>
        </m:r>
      </m:oMath>
      <w:r>
        <w:t xml:space="preserve"> </w:t>
      </w:r>
      <w:r>
        <w:t xml:space="preserve">% and</w:t>
      </w:r>
      <w:r>
        <w:t xml:space="preserve"> </w:t>
      </w:r>
      <m:oMath>
        <m:r>
          <m:rPr>
            <m:sty m:val="p"/>
          </m:rPr>
          <m:t>−</m:t>
        </m:r>
        <m:r>
          <m:t>0.5</m:t>
        </m:r>
      </m:oMath>
      <w:r>
        <w:t xml:space="preserve"> </w:t>
      </w:r>
      <w:r>
        <w:t xml:space="preserve">% in the two renderings). The source’s reading that the geomagnetic component peaks on the holiday,</w:t>
      </w:r>
      <w:r>
        <w:t xml:space="preserve"> </w:t>
      </w:r>
      <w:r>
        <w:t xml:space="preserve">“</w:t>
      </w:r>
      <w:r>
        <w:t xml:space="preserve">slightly shifted</w:t>
      </w:r>
      <w:r>
        <w:t xml:space="preserve">”</w:t>
      </w:r>
      <w:r>
        <w:t xml:space="preserve">, is correct as to the shift: the peak is eight to ten days after the holiday, and the holiday itself is on the flank.</w:t>
      </w:r>
    </w:p>
    <w:p>
      <w:pPr>
        <w:pStyle w:val="CaptionedFigure"/>
      </w:pPr>
      <w:r>
        <w:drawing>
          <wp:inline>
            <wp:extent cx="5334000" cy="2800349"/>
            <wp:effectExtent b="0" l="0" r="0" t="0"/>
            <wp:docPr descr="Day-of-year climatology of Ap (15-day circular mean) on the full record, on the full record without 2003, and on the vintage window. The dotted line marks 31 October." title="" id="47" name="Picture"/>
            <a:graphic>
              <a:graphicData uri="http://schemas.openxmlformats.org/drawingml/2006/picture">
                <pic:pic>
                  <pic:nvPicPr>
                    <pic:cNvPr descr="fig_S4_climatology.png" id="48" name="Picture"/>
                    <pic:cNvPicPr>
                      <a:picLocks noChangeArrowheads="1" noChangeAspect="1"/>
                    </pic:cNvPicPr>
                  </pic:nvPicPr>
                  <pic:blipFill>
                    <a:blip r:embed="rId46"/>
                    <a:stretch>
                      <a:fillRect/>
                    </a:stretch>
                  </pic:blipFill>
                  <pic:spPr bwMode="auto">
                    <a:xfrm>
                      <a:off x="0" y="0"/>
                      <a:ext cx="5334000" cy="2800349"/>
                    </a:xfrm>
                    <a:prstGeom prst="rect">
                      <a:avLst/>
                    </a:prstGeom>
                    <a:noFill/>
                    <a:ln w="9525">
                      <a:noFill/>
                      <a:headEnd/>
                      <a:tailEnd/>
                    </a:ln>
                  </pic:spPr>
                </pic:pic>
              </a:graphicData>
            </a:graphic>
          </wp:inline>
        </w:drawing>
      </w:r>
    </w:p>
    <w:p>
      <w:pPr>
        <w:pStyle w:val="ImageCaption"/>
      </w:pPr>
      <w:r>
        <w:t xml:space="preserve">Day-of-year climatology of Ap (15-day circular mean) on the full record, on the full record without 2003, and on the vintage window. The dotted line marks 31 October.</w:t>
      </w:r>
    </w:p>
    <w:bookmarkEnd w:id="49"/>
    <w:bookmarkStart w:id="53" w:name="dot-product-coherence"/>
    <w:p>
      <w:pPr>
        <w:pStyle w:val="Heading2"/>
      </w:pPr>
      <w:r>
        <w:t xml:space="preserve">3.3 Dot-product coherence</w:t>
      </w:r>
    </w:p>
    <w:p>
      <w:pPr>
        <w:pStyle w:val="FirstParagraph"/>
      </w:pPr>
      <w:r>
        <w:t xml:space="preserve">Let</w:t>
      </w:r>
      <w:r>
        <w:t xml:space="preserve"> </w:t>
      </w:r>
      <m:oMath>
        <m:sSub>
          <m:e>
            <m:r>
              <m:t>s</m:t>
            </m:r>
          </m:e>
          <m:sub>
            <m:r>
              <m:t>U</m:t>
            </m:r>
          </m:sub>
        </m:sSub>
        <m:d>
          <m:dPr>
            <m:begChr m:val="("/>
            <m:endChr m:val=")"/>
            <m:sepChr m:val=""/>
            <m:grow/>
          </m:dPr>
          <m:e>
            <m:r>
              <m:t>t</m:t>
            </m:r>
          </m:e>
        </m:d>
      </m:oMath>
      <w:r>
        <w:t xml:space="preserve"> </w:t>
      </w:r>
      <w:r>
        <w:t xml:space="preserve">and</w:t>
      </w:r>
      <w:r>
        <w:t xml:space="preserve"> </w:t>
      </w:r>
      <m:oMath>
        <m:sSub>
          <m:e>
            <m:r>
              <m:t>s</m:t>
            </m:r>
          </m:e>
          <m:sub>
            <m:r>
              <m:t>A</m:t>
            </m:r>
          </m:sub>
        </m:sSub>
        <m:d>
          <m:dPr>
            <m:begChr m:val="("/>
            <m:endChr m:val=")"/>
            <m:sepChr m:val=""/>
            <m:grow/>
          </m:dPr>
          <m:e>
            <m:r>
              <m:t>t</m:t>
            </m:r>
          </m:e>
        </m:d>
      </m:oMath>
      <w:r>
        <w:t xml:space="preserve"> </w:t>
      </w:r>
      <w:r>
        <w:t xml:space="preserve">be the two annual components on the circle of period</w:t>
      </w:r>
      <w:r>
        <w:t xml:space="preserve"> </w:t>
      </w:r>
      <m:oMath>
        <m:r>
          <m:t>P</m:t>
        </m:r>
        <m:r>
          <m:rPr>
            <m:sty m:val="p"/>
          </m:rPr>
          <m:t>=</m:t>
        </m:r>
        <m:r>
          <m:t>365</m:t>
        </m:r>
      </m:oMath>
      <w:r>
        <w:t xml:space="preserve"> </w:t>
      </w:r>
      <w:r>
        <w:t xml:space="preserve">d, centred. The dot-product coherence at circular lag</w:t>
      </w:r>
      <w:r>
        <w:t xml:space="preserve"> </w:t>
      </w:r>
      <m:oMath>
        <m:r>
          <m:t>τ</m:t>
        </m:r>
      </m:oMath>
      <w:r>
        <w:t xml:space="preserve"> </w:t>
      </w:r>
      <w:r>
        <w:t xml:space="preserve">is the normalised inner product</w:t>
      </w:r>
    </w:p>
    <w:p>
      <w:pPr>
        <w:pStyle w:val="BodyText"/>
      </w:pPr>
      <m:oMathPara>
        <m:oMathParaPr>
          <m:jc m:val="center"/>
        </m:oMathParaPr>
        <m:oMath>
          <m:r>
            <m:t>C</m:t>
          </m:r>
          <m:d>
            <m:dPr>
              <m:begChr m:val="("/>
              <m:endChr m:val=")"/>
              <m:sepChr m:val=""/>
              <m:grow/>
            </m:dPr>
            <m:e>
              <m:r>
                <m:t>τ</m:t>
              </m:r>
            </m:e>
          </m:d>
          <m:r>
            <m:rPr>
              <m:sty m:val="p"/>
            </m:rPr>
            <m:t>=</m:t>
          </m:r>
          <m:f>
            <m:fPr>
              <m:type m:val="bar"/>
            </m:fPr>
            <m:num>
              <m:r>
                <m:rPr>
                  <m:sty m:val="p"/>
                </m:rPr>
                <m:t>⟨</m:t>
              </m:r>
              <m:sSub>
                <m:e>
                  <m:r>
                    <m:t>s</m:t>
                  </m:r>
                </m:e>
                <m:sub>
                  <m:r>
                    <m:t>U</m:t>
                  </m:r>
                </m:sub>
              </m:sSub>
              <m:d>
                <m:dPr>
                  <m:begChr m:val="("/>
                  <m:endChr m:val=")"/>
                  <m:sepChr m:val=""/>
                  <m:grow/>
                </m:dPr>
                <m:e>
                  <m:r>
                    <m:rPr>
                      <m:sty m:val="p"/>
                    </m:rPr>
                    <m:t>⋅</m:t>
                  </m:r>
                  <m:r>
                    <m:rPr>
                      <m:sty m:val="p"/>
                    </m:rPr>
                    <m:t>+</m:t>
                  </m:r>
                  <m:r>
                    <m:t>τ</m:t>
                  </m:r>
                </m:e>
              </m:d>
              <m:r>
                <m:rPr>
                  <m:sty m:val="p"/>
                </m:rPr>
                <m:t>,</m:t>
              </m:r>
              <m:r>
                <m:t> </m:t>
              </m:r>
              <m:sSub>
                <m:e>
                  <m:r>
                    <m:t>s</m:t>
                  </m:r>
                </m:e>
                <m:sub>
                  <m:r>
                    <m:t>A</m:t>
                  </m:r>
                </m:sub>
              </m:sSub>
              <m:d>
                <m:dPr>
                  <m:begChr m:val="("/>
                  <m:endChr m:val=")"/>
                  <m:sepChr m:val=""/>
                  <m:grow/>
                </m:dPr>
                <m:e>
                  <m:r>
                    <m:rPr>
                      <m:sty m:val="p"/>
                    </m:rPr>
                    <m:t>⋅</m:t>
                  </m:r>
                </m:e>
              </m:d>
              <m:r>
                <m:rPr>
                  <m:sty m:val="p"/>
                </m:rPr>
                <m:t>⟩</m:t>
              </m:r>
            </m:num>
            <m:den>
              <m:r>
                <m:rPr>
                  <m:sty m:val="p"/>
                </m:rPr>
                <m:t>∥</m:t>
              </m:r>
              <m:sSub>
                <m:e>
                  <m:r>
                    <m:t>s</m:t>
                  </m:r>
                </m:e>
                <m:sub>
                  <m:r>
                    <m:t>U</m:t>
                  </m:r>
                </m:sub>
              </m:sSub>
              <m:r>
                <m:rPr>
                  <m:sty m:val="p"/>
                </m:rPr>
                <m:t>∥</m:t>
              </m:r>
              <m:r>
                <m:t> </m:t>
              </m:r>
              <m:r>
                <m:rPr>
                  <m:sty m:val="p"/>
                </m:rPr>
                <m:t>∥</m:t>
              </m:r>
              <m:sSub>
                <m:e>
                  <m:r>
                    <m:t>s</m:t>
                  </m:r>
                </m:e>
                <m:sub>
                  <m:r>
                    <m:t>A</m:t>
                  </m:r>
                </m:sub>
              </m:sSub>
              <m:r>
                <m:rPr>
                  <m:sty m:val="p"/>
                </m:rPr>
                <m:t>∥</m:t>
              </m:r>
            </m:den>
          </m:f>
          <m:r>
            <m:rPr>
              <m:sty m:val="p"/>
            </m:rPr>
            <m:t>,</m:t>
          </m:r>
          <m:r>
            <m:t>  </m:t>
          </m:r>
          <m:r>
            <m:rPr>
              <m:sty m:val="p"/>
            </m:rPr>
            <m:t>⟨</m:t>
          </m:r>
          <m:r>
            <m:t>f</m:t>
          </m:r>
          <m:r>
            <m:rPr>
              <m:sty m:val="p"/>
            </m:rPr>
            <m:t>,</m:t>
          </m:r>
          <m:r>
            <m:t>g</m:t>
          </m:r>
          <m:r>
            <m:rPr>
              <m:sty m:val="p"/>
            </m:rPr>
            <m:t>⟩</m:t>
          </m:r>
          <m:r>
            <m:rPr>
              <m:sty m:val="p"/>
            </m:rPr>
            <m:t>=</m:t>
          </m:r>
          <m:f>
            <m:fPr>
              <m:type m:val="bar"/>
            </m:fPr>
            <m:num>
              <m:r>
                <m:t>1</m:t>
              </m:r>
            </m:num>
            <m:den>
              <m:r>
                <m:t>P</m:t>
              </m:r>
            </m:den>
          </m:f>
          <m:nary>
            <m:naryPr>
              <m:chr m:val="∫"/>
              <m:limLoc m:val="subSup"/>
              <m:subHide m:val="off"/>
              <m:supHide m:val="off"/>
            </m:naryPr>
            <m:sub>
              <m:r>
                <m:t>0</m:t>
              </m:r>
            </m:sub>
            <m:sup>
              <m:r>
                <m:t>P</m:t>
              </m:r>
            </m:sup>
            <m:e>
              <m:r>
                <m:t>f</m:t>
              </m:r>
            </m:e>
          </m:nary>
          <m:d>
            <m:dPr>
              <m:begChr m:val="("/>
              <m:endChr m:val=")"/>
              <m:sepChr m:val=""/>
              <m:grow/>
            </m:dPr>
            <m:e>
              <m:r>
                <m:t>t</m:t>
              </m:r>
            </m:e>
          </m:d>
          <m:r>
            <m:t> </m:t>
          </m:r>
          <m:r>
            <m:t>g</m:t>
          </m:r>
          <m:d>
            <m:dPr>
              <m:begChr m:val="("/>
              <m:endChr m:val=")"/>
              <m:sepChr m:val=""/>
              <m:grow/>
            </m:dPr>
            <m:e>
              <m:r>
                <m:t>t</m:t>
              </m:r>
            </m:e>
          </m:d>
          <m:r>
            <m:t> </m:t>
          </m:r>
          <m:r>
            <m:rPr>
              <m:sty m:val="p"/>
            </m:rPr>
            <m:t>d</m:t>
          </m:r>
          <m:r>
            <m:t>t</m:t>
          </m:r>
          <m:r>
            <m:rPr>
              <m:sty m:val="p"/>
            </m:rPr>
            <m:t>,</m:t>
          </m:r>
        </m:oMath>
      </m:oMathPara>
    </w:p>
    <w:p>
      <w:pPr>
        <w:pStyle w:val="FirstParagraph"/>
      </w:pPr>
      <w:r>
        <w:t xml:space="preserve">so that</w:t>
      </w:r>
      <w:r>
        <w:t xml:space="preserve"> </w:t>
      </w:r>
      <m:oMath>
        <m:r>
          <m:t>τ</m:t>
        </m:r>
        <m:r>
          <m:rPr>
            <m:sty m:val="p"/>
          </m:rPr>
          <m:t>&gt;</m:t>
        </m:r>
        <m:r>
          <m:t>0</m:t>
        </m:r>
      </m:oMath>
      <w:r>
        <w:t xml:space="preserve"> </w:t>
      </w:r>
      <w:r>
        <w:t xml:space="preserve">means the search curve lags the geomagnetic curve by</w:t>
      </w:r>
      <w:r>
        <w:t xml:space="preserve"> </w:t>
      </w:r>
      <m:oMath>
        <m:r>
          <m:t>τ</m:t>
        </m:r>
      </m:oMath>
      <w:r>
        <w:t xml:space="preserve"> </w:t>
      </w:r>
      <w:r>
        <w:t xml:space="preserve">days. Writing each component in polar form,</w:t>
      </w:r>
      <w:r>
        <w:t xml:space="preserve"> </w:t>
      </w:r>
      <m:oMath>
        <m:r>
          <m:t>s</m:t>
        </m:r>
        <m:d>
          <m:dPr>
            <m:begChr m:val="("/>
            <m:endChr m:val=")"/>
            <m:sepChr m:val=""/>
            <m:grow/>
          </m:dPr>
          <m:e>
            <m:r>
              <m:t>t</m:t>
            </m:r>
          </m:e>
        </m:d>
        <m:r>
          <m:rPr>
            <m:sty m:val="p"/>
          </m:rPr>
          <m:t>=</m:t>
        </m:r>
        <m:nary>
          <m:naryPr>
            <m:chr m:val="∑"/>
            <m:limLoc m:val="undOvr"/>
            <m:subHide m:val="off"/>
            <m:supHide m:val="on"/>
          </m:naryPr>
          <m:sub>
            <m:r>
              <m:t>n</m:t>
            </m:r>
          </m:sub>
          <m:sup>
            <m:r>
              <m:t>​</m:t>
            </m:r>
          </m:sup>
          <m:e>
            <m:sSub>
              <m:e>
                <m:r>
                  <m:t>A</m:t>
                </m:r>
              </m:e>
              <m:sub>
                <m:r>
                  <m:t>n</m:t>
                </m:r>
              </m:sub>
            </m:sSub>
          </m:e>
        </m:nary>
        <m:r>
          <m:rPr>
            <m:sty m:val="p"/>
          </m:rPr>
          <m:t>cos</m:t>
        </m:r>
        <m:d>
          <m:dPr>
            <m:begChr m:val="("/>
            <m:endChr m:val=")"/>
            <m:sepChr m:val=""/>
            <m:grow/>
          </m:dPr>
          <m:e>
            <m:r>
              <m:t>2</m:t>
            </m:r>
            <m:r>
              <m:t>π</m:t>
            </m:r>
            <m:r>
              <m:t>n</m:t>
            </m:r>
            <m:r>
              <m:t>t</m:t>
            </m:r>
            <m:r>
              <m:rPr>
                <m:sty m:val="p"/>
              </m:rPr>
              <m:t>/</m:t>
            </m:r>
            <m:r>
              <m:t>P</m:t>
            </m:r>
            <m:r>
              <m:rPr>
                <m:sty m:val="p"/>
              </m:rPr>
              <m:t>−</m:t>
            </m:r>
            <m:sSub>
              <m:e>
                <m:r>
                  <m:t>φ</m:t>
                </m:r>
              </m:e>
              <m:sub>
                <m:r>
                  <m:t>n</m:t>
                </m:r>
              </m:sub>
            </m:sSub>
          </m:e>
        </m:d>
      </m:oMath>
      <w:r>
        <w:t xml:space="preserve">, orthogonality of the harmonics gives</w:t>
      </w:r>
    </w:p>
    <w:p>
      <w:pPr>
        <w:pStyle w:val="BodyText"/>
      </w:pPr>
      <m:oMathPara>
        <m:oMathParaPr>
          <m:jc m:val="center"/>
        </m:oMathParaPr>
        <m:oMath>
          <m:r>
            <m:t>C</m:t>
          </m:r>
          <m:d>
            <m:dPr>
              <m:begChr m:val="("/>
              <m:endChr m:val=")"/>
              <m:sepChr m:val=""/>
              <m:grow/>
            </m:dPr>
            <m:e>
              <m:r>
                <m:t>τ</m:t>
              </m:r>
            </m:e>
          </m:d>
          <m:r>
            <m:rPr>
              <m:sty m:val="p"/>
            </m:rPr>
            <m:t>=</m:t>
          </m:r>
          <m:f>
            <m:fPr>
              <m:type m:val="bar"/>
            </m:fPr>
            <m:num>
              <m:nary>
                <m:naryPr>
                  <m:chr m:val="∑"/>
                  <m:limLoc m:val="undOvr"/>
                  <m:subHide m:val="off"/>
                  <m:supHide m:val="off"/>
                </m:naryPr>
                <m:sub>
                  <m:r>
                    <m:t>n</m:t>
                  </m:r>
                  <m:r>
                    <m:rPr>
                      <m:sty m:val="p"/>
                    </m:rPr>
                    <m:t>=</m:t>
                  </m:r>
                  <m:r>
                    <m:t>1</m:t>
                  </m:r>
                </m:sub>
                <m:sup>
                  <m:r>
                    <m:t>N</m:t>
                  </m:r>
                </m:sup>
                <m:e>
                  <m:sSubSup>
                    <m:e>
                      <m:r>
                        <m:t>A</m:t>
                      </m:r>
                    </m:e>
                    <m:sub>
                      <m:r>
                        <m:t>n</m:t>
                      </m:r>
                    </m:sub>
                    <m:sup>
                      <m:r>
                        <m:t>U</m:t>
                      </m:r>
                    </m:sup>
                  </m:sSubSup>
                </m:e>
              </m:nary>
              <m:sSubSup>
                <m:e>
                  <m:r>
                    <m:t>A</m:t>
                  </m:r>
                </m:e>
                <m:sub>
                  <m:r>
                    <m:t>n</m:t>
                  </m:r>
                </m:sub>
                <m:sup>
                  <m:r>
                    <m:t>A</m:t>
                  </m:r>
                </m:sup>
              </m:sSubSup>
              <m:r>
                <m:rPr>
                  <m:sty m:val="p"/>
                </m:rPr>
                <m:t>cos</m:t>
              </m:r>
              <m:d>
                <m:dPr>
                  <m:begChr m:val="("/>
                  <m:endChr m:val=")"/>
                  <m:sepChr m:val=""/>
                  <m:grow/>
                </m:dPr>
                <m:e>
                  <m:sSubSup>
                    <m:e>
                      <m:r>
                        <m:t>φ</m:t>
                      </m:r>
                    </m:e>
                    <m:sub>
                      <m:r>
                        <m:t>n</m:t>
                      </m:r>
                    </m:sub>
                    <m:sup>
                      <m:r>
                        <m:t>U</m:t>
                      </m:r>
                    </m:sup>
                  </m:sSubSup>
                  <m:r>
                    <m:rPr>
                      <m:sty m:val="p"/>
                    </m:rPr>
                    <m:t>−</m:t>
                  </m:r>
                  <m:sSubSup>
                    <m:e>
                      <m:r>
                        <m:t>φ</m:t>
                      </m:r>
                    </m:e>
                    <m:sub>
                      <m:r>
                        <m:t>n</m:t>
                      </m:r>
                    </m:sub>
                    <m:sup>
                      <m:r>
                        <m:t>A</m:t>
                      </m:r>
                    </m:sup>
                  </m:sSubSup>
                  <m:r>
                    <m:rPr>
                      <m:sty m:val="p"/>
                    </m:rPr>
                    <m:t>−</m:t>
                  </m:r>
                  <m:r>
                    <m:t>2</m:t>
                  </m:r>
                  <m:r>
                    <m:t>π</m:t>
                  </m:r>
                  <m:r>
                    <m:t>n</m:t>
                  </m:r>
                  <m:r>
                    <m:t>τ</m:t>
                  </m:r>
                  <m:r>
                    <m:rPr>
                      <m:sty m:val="p"/>
                    </m:rPr>
                    <m:t>/</m:t>
                  </m:r>
                  <m:r>
                    <m:t>P</m:t>
                  </m:r>
                </m:e>
              </m:d>
            </m:num>
            <m:den>
              <m:r>
                <m:rPr>
                  <m:sty m:val="p"/>
                </m:rPr>
                <m:t>(</m:t>
              </m:r>
              <m:nary>
                <m:naryPr>
                  <m:chr m:val="∑"/>
                  <m:limLoc m:val="undOvr"/>
                  <m:subHide m:val="off"/>
                  <m:supHide m:val="on"/>
                </m:naryPr>
                <m:sub>
                  <m:r>
                    <m:t>n</m:t>
                  </m:r>
                </m:sub>
                <m:sup>
                  <m:r>
                    <m:t>​</m:t>
                  </m:r>
                </m:sup>
                <m:e>
                  <m:sSup>
                    <m:e>
                      <m:d>
                        <m:dPr>
                          <m:begChr m:val="("/>
                          <m:endChr m:val=")"/>
                          <m:sepChr m:val=""/>
                          <m:grow/>
                        </m:dPr>
                        <m:e>
                          <m:sSubSup>
                            <m:e>
                              <m:r>
                                <m:t>A</m:t>
                              </m:r>
                            </m:e>
                            <m:sub>
                              <m:r>
                                <m:t>n</m:t>
                              </m:r>
                            </m:sub>
                            <m:sup>
                              <m:r>
                                <m:t>U</m:t>
                              </m:r>
                            </m:sup>
                          </m:sSubSup>
                        </m:e>
                      </m:d>
                    </m:e>
                    <m:sup>
                      <m:r>
                        <m:t>2</m:t>
                      </m:r>
                    </m:sup>
                  </m:sSup>
                </m:e>
              </m:nary>
              <m:sSup>
                <m:e>
                  <m:r>
                    <m:rPr>
                      <m:sty m:val="p"/>
                    </m:rPr>
                    <m:t>)</m:t>
                  </m:r>
                </m:e>
                <m:sup>
                  <m:r>
                    <m:t>1</m:t>
                  </m:r>
                  <m:r>
                    <m:rPr>
                      <m:sty m:val="p"/>
                    </m:rPr>
                    <m:t>/</m:t>
                  </m:r>
                  <m:r>
                    <m:t>2</m:t>
                  </m:r>
                </m:sup>
              </m:sSup>
              <m:r>
                <m:rPr>
                  <m:sty m:val="p"/>
                </m:rPr>
                <m:t>(</m:t>
              </m:r>
              <m:nary>
                <m:naryPr>
                  <m:chr m:val="∑"/>
                  <m:limLoc m:val="undOvr"/>
                  <m:subHide m:val="off"/>
                  <m:supHide m:val="on"/>
                </m:naryPr>
                <m:sub>
                  <m:r>
                    <m:t>n</m:t>
                  </m:r>
                </m:sub>
                <m:sup>
                  <m:r>
                    <m:t>​</m:t>
                  </m:r>
                </m:sup>
                <m:e>
                  <m:sSup>
                    <m:e>
                      <m:d>
                        <m:dPr>
                          <m:begChr m:val="("/>
                          <m:endChr m:val=")"/>
                          <m:sepChr m:val=""/>
                          <m:grow/>
                        </m:dPr>
                        <m:e>
                          <m:sSubSup>
                            <m:e>
                              <m:r>
                                <m:t>A</m:t>
                              </m:r>
                            </m:e>
                            <m:sub>
                              <m:r>
                                <m:t>n</m:t>
                              </m:r>
                            </m:sub>
                            <m:sup>
                              <m:r>
                                <m:t>A</m:t>
                              </m:r>
                            </m:sup>
                          </m:sSubSup>
                        </m:e>
                      </m:d>
                    </m:e>
                    <m:sup>
                      <m:r>
                        <m:t>2</m:t>
                      </m:r>
                    </m:sup>
                  </m:sSup>
                </m:e>
              </m:nary>
              <m:sSup>
                <m:e>
                  <m:r>
                    <m:rPr>
                      <m:sty m:val="p"/>
                    </m:rPr>
                    <m:t>)</m:t>
                  </m:r>
                </m:e>
                <m:sup>
                  <m:r>
                    <m:t>1</m:t>
                  </m:r>
                  <m:r>
                    <m:rPr>
                      <m:sty m:val="p"/>
                    </m:rPr>
                    <m:t>/</m:t>
                  </m:r>
                  <m:r>
                    <m:t>2</m:t>
                  </m:r>
                </m:sup>
              </m:sSup>
            </m:den>
          </m:f>
          <m:r>
            <m:rPr>
              <m:sty m:val="p"/>
            </m:rPr>
            <m:t>,</m:t>
          </m:r>
        </m:oMath>
      </m:oMathPara>
    </w:p>
    <w:p>
      <w:pPr>
        <w:pStyle w:val="FirstParagraph"/>
      </w:pPr>
      <w:r>
        <w:t xml:space="preserve">which is Parseval’s identity for the circular cross-correlation:</w:t>
      </w:r>
      <w:r>
        <w:t xml:space="preserve"> </w:t>
      </w:r>
      <m:oMath>
        <m:r>
          <m:t>C</m:t>
        </m:r>
      </m:oMath>
      <w:r>
        <w:t xml:space="preserve"> </w:t>
      </w:r>
      <w:r>
        <w:t xml:space="preserve">is the amplitude-weighted mean cosine of the harmonic phase differences, and it is maximised when those differences are nulled by a common lag.</w:t>
      </w:r>
    </w:p>
    <w:p>
      <w:pPr>
        <w:pStyle w:val="BodyText"/>
      </w:pPr>
      <w:r>
        <w:t xml:space="preserve">The results (Figure 6) are as follows. At zero lag</w:t>
      </w:r>
      <w:r>
        <w:t xml:space="preserve"> </w:t>
      </w:r>
      <m:oMath>
        <m:r>
          <m:t>C</m:t>
        </m:r>
        <m:d>
          <m:dPr>
            <m:begChr m:val="("/>
            <m:endChr m:val=")"/>
            <m:sepChr m:val=""/>
            <m:grow/>
          </m:dPr>
          <m:e>
            <m:r>
              <m:t>0</m:t>
            </m:r>
          </m:e>
        </m:d>
        <m:r>
          <m:rPr>
            <m:sty m:val="p"/>
          </m:rPr>
          <m:t>=</m:t>
        </m:r>
        <m:r>
          <m:rPr>
            <m:sty m:val="p"/>
          </m:rPr>
          <m:t>−</m:t>
        </m:r>
        <m:r>
          <m:t>0.29</m:t>
        </m:r>
      </m:oMath>
      <w:r>
        <w:t xml:space="preserve"> </w:t>
      </w:r>
      <w:r>
        <w:t xml:space="preserve">(</w:t>
      </w:r>
      <w:r>
        <w:rPr>
          <w:iCs/>
          <w:i/>
        </w:rPr>
        <w:t xml:space="preserve">fig4</w:t>
      </w:r>
      <w:r>
        <w:t xml:space="preserve">) and</w:t>
      </w:r>
      <w:r>
        <w:t xml:space="preserve"> </w:t>
      </w:r>
      <m:oMath>
        <m:r>
          <m:rPr>
            <m:sty m:val="p"/>
          </m:rPr>
          <m:t>−</m:t>
        </m:r>
        <m:r>
          <m:t>0.23</m:t>
        </m:r>
      </m:oMath>
      <w:r>
        <w:t xml:space="preserve"> </w:t>
      </w:r>
      <w:r>
        <w:t xml:space="preserve">(</w:t>
      </w:r>
      <w:r>
        <w:rPr>
          <w:iCs/>
          <w:i/>
        </w:rPr>
        <w:t xml:space="preserve">fig5</w:t>
      </w:r>
      <w:r>
        <w:t xml:space="preserve">); against the definitive geomagnetic component,</w:t>
      </w:r>
      <w:r>
        <w:t xml:space="preserve"> </w:t>
      </w:r>
      <m:oMath>
        <m:r>
          <m:rPr>
            <m:sty m:val="p"/>
          </m:rPr>
          <m:t>−</m:t>
        </m:r>
        <m:r>
          <m:t>0.31</m:t>
        </m:r>
      </m:oMath>
      <w:r>
        <w:t xml:space="preserve"> </w:t>
      </w:r>
      <w:r>
        <w:t xml:space="preserve">and</w:t>
      </w:r>
      <w:r>
        <w:t xml:space="preserve"> </w:t>
      </w:r>
      <m:oMath>
        <m:r>
          <m:rPr>
            <m:sty m:val="p"/>
          </m:rPr>
          <m:t>−</m:t>
        </m:r>
        <m:r>
          <m:t>0.16</m:t>
        </m:r>
      </m:oMath>
      <w:r>
        <w:t xml:space="preserve">. The extremum of</w:t>
      </w:r>
      <w:r>
        <w:t xml:space="preserve"> </w:t>
      </w:r>
      <m:oMath>
        <m:r>
          <m:t>C</m:t>
        </m:r>
      </m:oMath>
      <w:r>
        <w:t xml:space="preserve"> </w:t>
      </w:r>
      <w:r>
        <w:t xml:space="preserve">on</w:t>
      </w:r>
      <w:r>
        <w:t xml:space="preserve"> </w:t>
      </w:r>
      <m:oMath>
        <m:d>
          <m:dPr>
            <m:begChr m:val="|"/>
            <m:endChr m:val="|"/>
            <m:sepChr m:val=""/>
            <m:grow/>
          </m:dPr>
          <m:e>
            <m:r>
              <m:t>τ</m:t>
            </m:r>
          </m:e>
        </m:d>
        <m:r>
          <m:rPr>
            <m:sty m:val="p"/>
          </m:rPr>
          <m:t>≤</m:t>
        </m:r>
        <m:r>
          <m:t>45</m:t>
        </m:r>
      </m:oMath>
      <w:r>
        <w:t xml:space="preserve"> </w:t>
      </w:r>
      <w:r>
        <w:t xml:space="preserve">d is a minimum:</w:t>
      </w:r>
      <w:r>
        <w:t xml:space="preserve"> </w:t>
      </w:r>
      <m:oMath>
        <m:r>
          <m:t>C</m:t>
        </m:r>
        <m:r>
          <m:rPr>
            <m:sty m:val="p"/>
          </m:rPr>
          <m:t>=</m:t>
        </m:r>
        <m:r>
          <m:rPr>
            <m:sty m:val="p"/>
          </m:rPr>
          <m:t>−</m:t>
        </m:r>
        <m:r>
          <m:t>0.49</m:t>
        </m:r>
      </m:oMath>
      <w:r>
        <w:t xml:space="preserve"> </w:t>
      </w:r>
      <w:r>
        <w:t xml:space="preserve">at</w:t>
      </w:r>
      <w:r>
        <w:t xml:space="preserve"> </w:t>
      </w:r>
      <m:oMath>
        <m:r>
          <m:t>τ</m:t>
        </m:r>
        <m:r>
          <m:rPr>
            <m:sty m:val="p"/>
          </m:rPr>
          <m:t>=</m:t>
        </m:r>
        <m:r>
          <m:t>15</m:t>
        </m:r>
      </m:oMath>
      <w:r>
        <w:t xml:space="preserve"> </w:t>
      </w:r>
      <w:r>
        <w:t xml:space="preserve">d (</w:t>
      </w:r>
      <w:r>
        <w:rPr>
          <w:iCs/>
          <w:i/>
        </w:rPr>
        <w:t xml:space="preserve">fig4</w:t>
      </w:r>
      <w:r>
        <w:t xml:space="preserve">) and</w:t>
      </w:r>
      <w:r>
        <w:t xml:space="preserve"> </w:t>
      </w:r>
      <m:oMath>
        <m:r>
          <m:rPr>
            <m:sty m:val="p"/>
          </m:rPr>
          <m:t>−</m:t>
        </m:r>
        <m:r>
          <m:t>0.56</m:t>
        </m:r>
      </m:oMath>
      <w:r>
        <w:t xml:space="preserve"> </w:t>
      </w:r>
      <w:r>
        <w:t xml:space="preserve">at</w:t>
      </w:r>
      <w:r>
        <w:t xml:space="preserve"> </w:t>
      </w:r>
      <m:oMath>
        <m:r>
          <m:t>τ</m:t>
        </m:r>
        <m:r>
          <m:rPr>
            <m:sty m:val="p"/>
          </m:rPr>
          <m:t>=</m:t>
        </m:r>
        <m:r>
          <m:t>12</m:t>
        </m:r>
      </m:oMath>
      <w:r>
        <w:t xml:space="preserve"> </w:t>
      </w:r>
      <w:r>
        <w:t xml:space="preserve">d (</w:t>
      </w:r>
      <w:r>
        <w:rPr>
          <w:iCs/>
          <w:i/>
        </w:rPr>
        <w:t xml:space="preserve">fig5</w:t>
      </w:r>
      <w:r>
        <w:t xml:space="preserve">); against the definitive component,</w:t>
      </w:r>
      <w:r>
        <w:t xml:space="preserve"> </w:t>
      </w:r>
      <m:oMath>
        <m:r>
          <m:rPr>
            <m:sty m:val="p"/>
          </m:rPr>
          <m:t>−</m:t>
        </m:r>
        <m:r>
          <m:t>0.50</m:t>
        </m:r>
      </m:oMath>
      <w:r>
        <w:t xml:space="preserve"> </w:t>
      </w:r>
      <w:r>
        <w:t xml:space="preserve">and</w:t>
      </w:r>
      <w:r>
        <w:t xml:space="preserve"> </w:t>
      </w:r>
      <m:oMath>
        <m:r>
          <m:rPr>
            <m:sty m:val="p"/>
          </m:rPr>
          <m:t>−</m:t>
        </m:r>
        <m:r>
          <m:t>0.57</m:t>
        </m:r>
      </m:oMath>
      <w:r>
        <w:t xml:space="preserve">, both at</w:t>
      </w:r>
      <w:r>
        <w:t xml:space="preserve"> </w:t>
      </w:r>
      <m:oMath>
        <m:r>
          <m:t>τ</m:t>
        </m:r>
        <m:r>
          <m:rPr>
            <m:sty m:val="p"/>
          </m:rPr>
          <m:t>=</m:t>
        </m:r>
        <m:r>
          <m:t>14</m:t>
        </m:r>
      </m:oMath>
      <w:r>
        <w:t xml:space="preserve"> </w:t>
      </w:r>
      <w:r>
        <w:t xml:space="preserve">d. The largest positive value with geomagnetic lead within 45 d is</w:t>
      </w:r>
      <w:r>
        <w:t xml:space="preserve"> </w:t>
      </w:r>
      <m:oMath>
        <m:r>
          <m:rPr>
            <m:sty m:val="p"/>
          </m:rPr>
          <m:t>+</m:t>
        </m:r>
        <m:r>
          <m:t>0.01</m:t>
        </m:r>
      </m:oMath>
      <w:r>
        <w:t xml:space="preserve"> </w:t>
      </w:r>
      <w:r>
        <w:t xml:space="preserve">at</w:t>
      </w:r>
      <w:r>
        <w:t xml:space="preserve"> </w:t>
      </w:r>
      <m:oMath>
        <m:r>
          <m:t>τ</m:t>
        </m:r>
        <m:r>
          <m:rPr>
            <m:sty m:val="p"/>
          </m:rPr>
          <m:t>=</m:t>
        </m:r>
        <m:r>
          <m:t>40</m:t>
        </m:r>
      </m:oMath>
      <w:r>
        <w:t xml:space="preserve"> </w:t>
      </w:r>
      <w:r>
        <w:t xml:space="preserve">d (</w:t>
      </w:r>
      <w:r>
        <w:rPr>
          <w:iCs/>
          <w:i/>
        </w:rPr>
        <w:t xml:space="preserve">fig4</w:t>
      </w:r>
      <w:r>
        <w:t xml:space="preserve">) and</w:t>
      </w:r>
      <w:r>
        <w:t xml:space="preserve"> </w:t>
      </w:r>
      <m:oMath>
        <m:r>
          <m:rPr>
            <m:sty m:val="p"/>
          </m:rPr>
          <m:t>+</m:t>
        </m:r>
        <m:r>
          <m:t>0.17</m:t>
        </m:r>
      </m:oMath>
      <w:r>
        <w:t xml:space="preserve"> </w:t>
      </w:r>
      <w:r>
        <w:t xml:space="preserve">at</w:t>
      </w:r>
      <w:r>
        <w:t xml:space="preserve"> </w:t>
      </w:r>
      <m:oMath>
        <m:r>
          <m:t>τ</m:t>
        </m:r>
        <m:r>
          <m:rPr>
            <m:sty m:val="p"/>
          </m:rPr>
          <m:t>=</m:t>
        </m:r>
        <m:r>
          <m:t>35</m:t>
        </m:r>
      </m:oMath>
      <w:r>
        <w:t xml:space="preserve"> </w:t>
      </w:r>
      <w:r>
        <w:t xml:space="preserve">d (</w:t>
      </w:r>
      <w:r>
        <w:rPr>
          <w:iCs/>
          <w:i/>
        </w:rPr>
        <w:t xml:space="preserve">fig5</w:t>
      </w:r>
      <w:r>
        <w:t xml:space="preserve">). The global maximum over</w:t>
      </w:r>
      <w:r>
        <w:t xml:space="preserve"> </w:t>
      </w:r>
      <m:oMath>
        <m:d>
          <m:dPr>
            <m:begChr m:val="|"/>
            <m:endChr m:val="|"/>
            <m:sepChr m:val=""/>
            <m:grow/>
          </m:dPr>
          <m:e>
            <m:r>
              <m:t>τ</m:t>
            </m:r>
          </m:e>
        </m:d>
        <m:r>
          <m:rPr>
            <m:sty m:val="p"/>
          </m:rPr>
          <m:t>≤</m:t>
        </m:r>
        <m:r>
          <m:t>90</m:t>
        </m:r>
      </m:oMath>
      <w:r>
        <w:t xml:space="preserve"> </w:t>
      </w:r>
      <w:r>
        <w:t xml:space="preserve">d,</w:t>
      </w:r>
      <w:r>
        <w:t xml:space="preserve"> </w:t>
      </w:r>
      <m:oMath>
        <m:r>
          <m:t>C</m:t>
        </m:r>
        <m:r>
          <m:rPr>
            <m:sty m:val="p"/>
          </m:rPr>
          <m:t>=</m:t>
        </m:r>
        <m:r>
          <m:t>0.67</m:t>
        </m:r>
      </m:oMath>
      <w:r>
        <w:t xml:space="preserve"> </w:t>
      </w:r>
      <w:r>
        <w:t xml:space="preserve">at</w:t>
      </w:r>
      <w:r>
        <w:t xml:space="preserve"> </w:t>
      </w:r>
      <m:oMath>
        <m:r>
          <m:t>τ</m:t>
        </m:r>
        <m:r>
          <m:rPr>
            <m:sty m:val="p"/>
          </m:rPr>
          <m:t>=</m:t>
        </m:r>
        <m:r>
          <m:rPr>
            <m:sty m:val="p"/>
          </m:rPr>
          <m:t>−</m:t>
        </m:r>
        <m:r>
          <m:t>75</m:t>
        </m:r>
      </m:oMath>
      <w:r>
        <w:t xml:space="preserve"> </w:t>
      </w:r>
      <w:r>
        <w:t xml:space="preserve">d (</w:t>
      </w:r>
      <w:r>
        <w:rPr>
          <w:iCs/>
          <w:i/>
        </w:rPr>
        <w:t xml:space="preserve">fig4</w:t>
      </w:r>
      <w:r>
        <w:t xml:space="preserve">) and</w:t>
      </w:r>
      <w:r>
        <w:t xml:space="preserve"> </w:t>
      </w:r>
      <m:oMath>
        <m:r>
          <m:t>0.55</m:t>
        </m:r>
      </m:oMath>
      <w:r>
        <w:t xml:space="preserve"> </w:t>
      </w:r>
      <w:r>
        <w:t xml:space="preserve">at</w:t>
      </w:r>
      <w:r>
        <w:t xml:space="preserve"> </w:t>
      </w:r>
      <m:oMath>
        <m:r>
          <m:rPr>
            <m:sty m:val="p"/>
          </m:rPr>
          <m:t>−</m:t>
        </m:r>
        <m:r>
          <m:t>78</m:t>
        </m:r>
      </m:oMath>
      <w:r>
        <w:t xml:space="preserve"> </w:t>
      </w:r>
      <w:r>
        <w:t xml:space="preserve">d (</w:t>
      </w:r>
      <w:r>
        <w:rPr>
          <w:iCs/>
          <w:i/>
        </w:rPr>
        <w:t xml:space="preserve">fig5</w:t>
      </w:r>
      <w:r>
        <w:t xml:space="preserve">), has the search curve leading the field by eleven weeks or, on the circle, the field leading the search by forty-one; it is the circular alias of the antiphase relation and is not interpreted.</w:t>
      </w:r>
    </w:p>
    <w:p>
      <w:pPr>
        <w:pStyle w:val="BodyText"/>
      </w:pPr>
      <w:r>
        <w:t xml:space="preserve">The two curves are therefore not in phase at a lag of two to three weeks. They are in</w:t>
      </w:r>
      <w:r>
        <w:t xml:space="preserve"> </w:t>
      </w:r>
      <w:r>
        <w:rPr>
          <w:iCs/>
          <w:i/>
        </w:rPr>
        <w:t xml:space="preserve">antiphase</w:t>
      </w:r>
      <w:r>
        <w:t xml:space="preserve"> </w:t>
      </w:r>
      <w:r>
        <w:t xml:space="preserve">at a lag of a fortnight: the search curve is, to a coherence of 0.5–0.57, the negative of the geomagnetic curve delayed by twelve to fifteen days. Table 3 gives the harmonic decomposition of this relation.</w:t>
      </w:r>
    </w:p>
    <w:p>
      <w:pPr>
        <w:pStyle w:val="TableCaption"/>
      </w:pPr>
      <w:r>
        <w:t xml:space="preserve">Harmonic amplitudes (per cent of trend) and phase differences Δφn = φn(U) − φn(A) (search minus field, degrees, wrapped to (−180°, 180°]) of the two annual components.</w:t>
      </w:r>
    </w:p>
    <w:tbl>
      <w:tblPr>
        <w:tblStyle w:val="Table"/>
        <w:tblW w:type="pct" w:w="5000"/>
        <w:tblLook w:firstRow="1" w:lastRow="0" w:firstColumn="0" w:lastColumn="0" w:noHBand="0" w:noVBand="0" w:val="0020"/>
        <w:jc w:val="start"/>
        <w:tblCaption w:val="Harmonic amplitudes (per cent of trend) and phase differences Δφn = φn(U) − φn(A) (search minus field, degrees, wrapped to (−180°, 180°]) of the two annual components."/>
      </w:tblPr>
      <w:tblGrid>
        <w:gridCol w:w="990"/>
        <w:gridCol w:w="990"/>
        <w:gridCol w:w="990"/>
        <w:gridCol w:w="990"/>
        <w:gridCol w:w="990"/>
        <w:gridCol w:w="990"/>
        <w:gridCol w:w="990"/>
        <w:gridCol w:w="990"/>
      </w:tblGrid>
      <w:tr>
        <w:trPr>
          <w:tblHeader w:val="true"/>
        </w:trPr>
        <w:tc>
          <w:tcPr/>
          <w:p>
            <w:pPr>
              <w:pStyle w:val="Compact"/>
              <w:jc w:val="right"/>
            </w:pPr>
            <m:oMath>
              <m:r>
                <m:t>n</m:t>
              </m:r>
            </m:oMath>
          </w:p>
        </w:tc>
        <w:tc>
          <w:tcPr/>
          <w:p>
            <w:pPr>
              <w:pStyle w:val="Compact"/>
              <w:jc w:val="right"/>
            </w:pPr>
            <w:r>
              <w:t xml:space="preserve">Period (d)</w:t>
            </w:r>
          </w:p>
        </w:tc>
        <w:tc>
          <w:tcPr/>
          <w:p>
            <w:pPr>
              <w:pStyle w:val="Compact"/>
              <w:jc w:val="right"/>
            </w:pPr>
            <m:oMath>
              <m:sSubSup>
                <m:e>
                  <m:r>
                    <m:t>A</m:t>
                  </m:r>
                </m:e>
                <m:sub>
                  <m:r>
                    <m:t>n</m:t>
                  </m:r>
                </m:sub>
                <m:sup>
                  <m:r>
                    <m:t>U</m:t>
                  </m:r>
                </m:sup>
              </m:sSubSup>
            </m:oMath>
            <w:r>
              <w:t xml:space="preserve"> </w:t>
            </w:r>
            <w:r>
              <w:t xml:space="preserve">(</w:t>
            </w:r>
            <w:r>
              <w:rPr>
                <w:iCs/>
                <w:i/>
              </w:rPr>
              <w:t xml:space="preserve">fig4</w:t>
            </w:r>
            <w:r>
              <w:t xml:space="preserve">)</w:t>
            </w:r>
          </w:p>
        </w:tc>
        <w:tc>
          <w:tcPr/>
          <w:p>
            <w:pPr>
              <w:pStyle w:val="Compact"/>
              <w:jc w:val="right"/>
            </w:pPr>
            <m:oMath>
              <m:sSubSup>
                <m:e>
                  <m:r>
                    <m:t>A</m:t>
                  </m:r>
                </m:e>
                <m:sub>
                  <m:r>
                    <m:t>n</m:t>
                  </m:r>
                </m:sub>
                <m:sup>
                  <m:r>
                    <m:t>A</m:t>
                  </m:r>
                </m:sup>
              </m:sSubSup>
            </m:oMath>
            <w:r>
              <w:t xml:space="preserve"> </w:t>
            </w:r>
            <w:r>
              <w:t xml:space="preserve">(</w:t>
            </w:r>
            <w:r>
              <w:rPr>
                <w:iCs/>
                <w:i/>
              </w:rPr>
              <w:t xml:space="preserve">fig4</w:t>
            </w:r>
            <w:r>
              <w:t xml:space="preserve">)</w:t>
            </w:r>
          </w:p>
        </w:tc>
        <w:tc>
          <w:tcPr/>
          <w:p>
            <w:pPr>
              <w:pStyle w:val="Compact"/>
              <w:jc w:val="right"/>
            </w:pPr>
            <m:oMath>
              <m:r>
                <m:t>Δ</m:t>
              </m:r>
              <m:sSub>
                <m:e>
                  <m:r>
                    <m:t>φ</m:t>
                  </m:r>
                </m:e>
                <m:sub>
                  <m:r>
                    <m:t>n</m:t>
                  </m:r>
                </m:sub>
              </m:sSub>
            </m:oMath>
            <w:r>
              <w:t xml:space="preserve"> </w:t>
            </w:r>
            <w:r>
              <w:t xml:space="preserve">(</w:t>
            </w:r>
            <w:r>
              <w:rPr>
                <w:iCs/>
                <w:i/>
              </w:rPr>
              <w:t xml:space="preserve">fig4</w:t>
            </w:r>
            <w:r>
              <w:t xml:space="preserve">)</w:t>
            </w:r>
          </w:p>
        </w:tc>
        <w:tc>
          <w:tcPr/>
          <w:p>
            <w:pPr>
              <w:pStyle w:val="Compact"/>
              <w:jc w:val="right"/>
            </w:pPr>
            <m:oMath>
              <m:sSubSup>
                <m:e>
                  <m:r>
                    <m:t>A</m:t>
                  </m:r>
                </m:e>
                <m:sub>
                  <m:r>
                    <m:t>n</m:t>
                  </m:r>
                </m:sub>
                <m:sup>
                  <m:r>
                    <m:t>U</m:t>
                  </m:r>
                </m:sup>
              </m:sSubSup>
            </m:oMath>
            <w:r>
              <w:t xml:space="preserve"> </w:t>
            </w:r>
            <w:r>
              <w:t xml:space="preserve">(</w:t>
            </w:r>
            <w:r>
              <w:rPr>
                <w:iCs/>
                <w:i/>
              </w:rPr>
              <w:t xml:space="preserve">fig5</w:t>
            </w:r>
            <w:r>
              <w:t xml:space="preserve">)</w:t>
            </w:r>
          </w:p>
        </w:tc>
        <w:tc>
          <w:tcPr/>
          <w:p>
            <w:pPr>
              <w:pStyle w:val="Compact"/>
              <w:jc w:val="right"/>
            </w:pPr>
            <m:oMath>
              <m:sSubSup>
                <m:e>
                  <m:r>
                    <m:t>A</m:t>
                  </m:r>
                </m:e>
                <m:sub>
                  <m:r>
                    <m:t>n</m:t>
                  </m:r>
                </m:sub>
                <m:sup>
                  <m:r>
                    <m:t>A</m:t>
                  </m:r>
                </m:sup>
              </m:sSubSup>
            </m:oMath>
            <w:r>
              <w:t xml:space="preserve"> </w:t>
            </w:r>
            <w:r>
              <w:t xml:space="preserve">(</w:t>
            </w:r>
            <w:r>
              <w:rPr>
                <w:iCs/>
                <w:i/>
              </w:rPr>
              <w:t xml:space="preserve">fig5</w:t>
            </w:r>
            <w:r>
              <w:t xml:space="preserve">)</w:t>
            </w:r>
          </w:p>
        </w:tc>
        <w:tc>
          <w:tcPr/>
          <w:p>
            <w:pPr>
              <w:pStyle w:val="Compact"/>
              <w:jc w:val="right"/>
            </w:pPr>
            <m:oMath>
              <m:r>
                <m:t>Δ</m:t>
              </m:r>
              <m:sSub>
                <m:e>
                  <m:r>
                    <m:t>φ</m:t>
                  </m:r>
                </m:e>
                <m:sub>
                  <m:r>
                    <m:t>n</m:t>
                  </m:r>
                </m:sub>
              </m:sSub>
            </m:oMath>
            <w:r>
              <w:t xml:space="preserve"> </w:t>
            </w:r>
            <w:r>
              <w:t xml:space="preserve">(</w:t>
            </w:r>
            <w:r>
              <w:rPr>
                <w:iCs/>
                <w:i/>
              </w:rPr>
              <w:t xml:space="preserve">fig5</w:t>
            </w:r>
            <w:r>
              <w:t xml:space="preserve">)</w:t>
            </w:r>
          </w:p>
        </w:tc>
      </w:tr>
      <w:tr>
        <w:tc>
          <w:tcPr/>
          <w:p>
            <w:pPr>
              <w:pStyle w:val="Compact"/>
              <w:jc w:val="right"/>
            </w:pPr>
            <w:r>
              <w:t xml:space="preserve">1</w:t>
            </w:r>
          </w:p>
        </w:tc>
        <w:tc>
          <w:tcPr/>
          <w:p>
            <w:pPr>
              <w:pStyle w:val="Compact"/>
              <w:jc w:val="right"/>
            </w:pPr>
            <w:r>
              <w:t xml:space="preserve">365.0</w:t>
            </w:r>
          </w:p>
        </w:tc>
        <w:tc>
          <w:tcPr/>
          <w:p>
            <w:pPr>
              <w:pStyle w:val="Compact"/>
              <w:jc w:val="right"/>
            </w:pPr>
            <w:r>
              <w:t xml:space="preserve">1.7</w:t>
            </w:r>
          </w:p>
        </w:tc>
        <w:tc>
          <w:tcPr/>
          <w:p>
            <w:pPr>
              <w:pStyle w:val="Compact"/>
              <w:jc w:val="right"/>
            </w:pPr>
            <w:r>
              <w:t xml:space="preserve">14.4</w:t>
            </w:r>
          </w:p>
        </w:tc>
        <w:tc>
          <w:tcPr/>
          <w:p>
            <w:pPr>
              <w:pStyle w:val="Compact"/>
              <w:jc w:val="right"/>
            </w:pPr>
            <w:r>
              <w:t xml:space="preserve">−96°</w:t>
            </w:r>
          </w:p>
        </w:tc>
        <w:tc>
          <w:tcPr/>
          <w:p>
            <w:pPr>
              <w:pStyle w:val="Compact"/>
              <w:jc w:val="right"/>
            </w:pPr>
            <w:r>
              <w:t xml:space="preserve">0.9</w:t>
            </w:r>
          </w:p>
        </w:tc>
        <w:tc>
          <w:tcPr/>
          <w:p>
            <w:pPr>
              <w:pStyle w:val="Compact"/>
              <w:jc w:val="right"/>
            </w:pPr>
            <w:r>
              <w:t xml:space="preserve">14.9</w:t>
            </w:r>
          </w:p>
        </w:tc>
        <w:tc>
          <w:tcPr/>
          <w:p>
            <w:pPr>
              <w:pStyle w:val="Compact"/>
              <w:jc w:val="right"/>
            </w:pPr>
            <w:r>
              <w:t xml:space="preserve">−128°</w:t>
            </w:r>
          </w:p>
        </w:tc>
      </w:tr>
      <w:tr>
        <w:tc>
          <w:tcPr/>
          <w:p>
            <w:pPr>
              <w:pStyle w:val="Compact"/>
              <w:jc w:val="right"/>
            </w:pPr>
            <w:r>
              <w:t xml:space="preserve">2</w:t>
            </w:r>
          </w:p>
        </w:tc>
        <w:tc>
          <w:tcPr/>
          <w:p>
            <w:pPr>
              <w:pStyle w:val="Compact"/>
              <w:jc w:val="right"/>
            </w:pPr>
            <w:r>
              <w:t xml:space="preserve">182.5</w:t>
            </w:r>
          </w:p>
        </w:tc>
        <w:tc>
          <w:tcPr/>
          <w:p>
            <w:pPr>
              <w:pStyle w:val="Compact"/>
              <w:jc w:val="right"/>
            </w:pPr>
            <w:r>
              <w:t xml:space="preserve">7.7</w:t>
            </w:r>
          </w:p>
        </w:tc>
        <w:tc>
          <w:tcPr/>
          <w:p>
            <w:pPr>
              <w:pStyle w:val="Compact"/>
              <w:jc w:val="right"/>
            </w:pPr>
            <w:r>
              <w:t xml:space="preserve">40.4</w:t>
            </w:r>
          </w:p>
        </w:tc>
        <w:tc>
          <w:tcPr/>
          <w:p>
            <w:pPr>
              <w:pStyle w:val="Compact"/>
              <w:jc w:val="right"/>
            </w:pPr>
            <w:r>
              <w:t xml:space="preserve">−160°</w:t>
            </w:r>
          </w:p>
        </w:tc>
        <w:tc>
          <w:tcPr/>
          <w:p>
            <w:pPr>
              <w:pStyle w:val="Compact"/>
              <w:jc w:val="right"/>
            </w:pPr>
            <w:r>
              <w:t xml:space="preserve">56.1</w:t>
            </w:r>
          </w:p>
        </w:tc>
        <w:tc>
          <w:tcPr/>
          <w:p>
            <w:pPr>
              <w:pStyle w:val="Compact"/>
              <w:jc w:val="right"/>
            </w:pPr>
            <w:r>
              <w:t xml:space="preserve">41.1</w:t>
            </w:r>
          </w:p>
        </w:tc>
        <w:tc>
          <w:tcPr/>
          <w:p>
            <w:pPr>
              <w:pStyle w:val="Compact"/>
              <w:jc w:val="right"/>
            </w:pPr>
            <w:r>
              <w:t xml:space="preserve">−166°</w:t>
            </w:r>
          </w:p>
        </w:tc>
      </w:tr>
      <w:tr>
        <w:tc>
          <w:tcPr/>
          <w:p>
            <w:pPr>
              <w:pStyle w:val="Compact"/>
              <w:jc w:val="right"/>
            </w:pPr>
            <w:r>
              <w:t xml:space="preserve">3</w:t>
            </w:r>
          </w:p>
        </w:tc>
        <w:tc>
          <w:tcPr/>
          <w:p>
            <w:pPr>
              <w:pStyle w:val="Compact"/>
              <w:jc w:val="right"/>
            </w:pPr>
            <w:r>
              <w:t xml:space="preserve">121.7</w:t>
            </w:r>
          </w:p>
        </w:tc>
        <w:tc>
          <w:tcPr/>
          <w:p>
            <w:pPr>
              <w:pStyle w:val="Compact"/>
              <w:jc w:val="right"/>
            </w:pPr>
            <w:r>
              <w:t xml:space="preserve">3.0</w:t>
            </w:r>
          </w:p>
        </w:tc>
        <w:tc>
          <w:tcPr/>
          <w:p>
            <w:pPr>
              <w:pStyle w:val="Compact"/>
              <w:jc w:val="right"/>
            </w:pPr>
            <w:r>
              <w:t xml:space="preserve">5.3</w:t>
            </w:r>
          </w:p>
        </w:tc>
        <w:tc>
          <w:tcPr/>
          <w:p>
            <w:pPr>
              <w:pStyle w:val="Compact"/>
              <w:jc w:val="right"/>
            </w:pPr>
            <w:r>
              <w:t xml:space="preserve">+142°</w:t>
            </w:r>
          </w:p>
        </w:tc>
        <w:tc>
          <w:tcPr/>
          <w:p>
            <w:pPr>
              <w:pStyle w:val="Compact"/>
              <w:jc w:val="right"/>
            </w:pPr>
            <w:r>
              <w:t xml:space="preserve">26.3</w:t>
            </w:r>
          </w:p>
        </w:tc>
        <w:tc>
          <w:tcPr/>
          <w:p>
            <w:pPr>
              <w:pStyle w:val="Compact"/>
              <w:jc w:val="right"/>
            </w:pPr>
            <w:r>
              <w:t xml:space="preserve">6.4</w:t>
            </w:r>
          </w:p>
        </w:tc>
        <w:tc>
          <w:tcPr/>
          <w:p>
            <w:pPr>
              <w:pStyle w:val="Compact"/>
              <w:jc w:val="right"/>
            </w:pPr>
            <w:r>
              <w:t xml:space="preserve">+102°</w:t>
            </w:r>
          </w:p>
        </w:tc>
      </w:tr>
      <w:tr>
        <w:tc>
          <w:tcPr/>
          <w:p>
            <w:pPr>
              <w:pStyle w:val="Compact"/>
              <w:jc w:val="right"/>
            </w:pPr>
            <w:r>
              <w:t xml:space="preserve">4</w:t>
            </w:r>
          </w:p>
        </w:tc>
        <w:tc>
          <w:tcPr/>
          <w:p>
            <w:pPr>
              <w:pStyle w:val="Compact"/>
              <w:jc w:val="right"/>
            </w:pPr>
            <w:r>
              <w:t xml:space="preserve">91.3</w:t>
            </w:r>
          </w:p>
        </w:tc>
        <w:tc>
          <w:tcPr/>
          <w:p>
            <w:pPr>
              <w:pStyle w:val="Compact"/>
              <w:jc w:val="right"/>
            </w:pPr>
            <w:r>
              <w:t xml:space="preserve">1.1</w:t>
            </w:r>
          </w:p>
        </w:tc>
        <w:tc>
          <w:tcPr/>
          <w:p>
            <w:pPr>
              <w:pStyle w:val="Compact"/>
              <w:jc w:val="right"/>
            </w:pPr>
            <w:r>
              <w:t xml:space="preserve">6.6</w:t>
            </w:r>
          </w:p>
        </w:tc>
        <w:tc>
          <w:tcPr/>
          <w:p>
            <w:pPr>
              <w:pStyle w:val="Compact"/>
              <w:jc w:val="right"/>
            </w:pPr>
            <w:r>
              <w:t xml:space="preserve">−64°</w:t>
            </w:r>
          </w:p>
        </w:tc>
        <w:tc>
          <w:tcPr/>
          <w:p>
            <w:pPr>
              <w:pStyle w:val="Compact"/>
              <w:jc w:val="right"/>
            </w:pPr>
            <w:r>
              <w:t xml:space="preserve">14.6</w:t>
            </w:r>
          </w:p>
        </w:tc>
        <w:tc>
          <w:tcPr/>
          <w:p>
            <w:pPr>
              <w:pStyle w:val="Compact"/>
              <w:jc w:val="right"/>
            </w:pPr>
            <w:r>
              <w:t xml:space="preserve">7.4</w:t>
            </w:r>
          </w:p>
        </w:tc>
        <w:tc>
          <w:tcPr/>
          <w:p>
            <w:pPr>
              <w:pStyle w:val="Compact"/>
              <w:jc w:val="right"/>
            </w:pPr>
            <w:r>
              <w:t xml:space="preserve">−94°</w:t>
            </w:r>
          </w:p>
        </w:tc>
      </w:tr>
      <w:tr>
        <w:tc>
          <w:tcPr/>
          <w:p>
            <w:pPr>
              <w:pStyle w:val="Compact"/>
              <w:jc w:val="right"/>
            </w:pPr>
            <w:r>
              <w:t xml:space="preserve">5</w:t>
            </w:r>
          </w:p>
        </w:tc>
        <w:tc>
          <w:tcPr/>
          <w:p>
            <w:pPr>
              <w:pStyle w:val="Compact"/>
              <w:jc w:val="right"/>
            </w:pPr>
            <w:r>
              <w:t xml:space="preserve">73.0</w:t>
            </w:r>
          </w:p>
        </w:tc>
        <w:tc>
          <w:tcPr/>
          <w:p>
            <w:pPr>
              <w:pStyle w:val="Compact"/>
              <w:jc w:val="right"/>
            </w:pPr>
            <w:r>
              <w:t xml:space="preserve">6.4</w:t>
            </w:r>
          </w:p>
        </w:tc>
        <w:tc>
          <w:tcPr/>
          <w:p>
            <w:pPr>
              <w:pStyle w:val="Compact"/>
              <w:jc w:val="right"/>
            </w:pPr>
            <w:r>
              <w:t xml:space="preserve">12.4</w:t>
            </w:r>
          </w:p>
        </w:tc>
        <w:tc>
          <w:tcPr/>
          <w:p>
            <w:pPr>
              <w:pStyle w:val="Compact"/>
              <w:jc w:val="right"/>
            </w:pPr>
            <w:r>
              <w:t xml:space="preserve">−130°</w:t>
            </w:r>
          </w:p>
        </w:tc>
        <w:tc>
          <w:tcPr/>
          <w:p>
            <w:pPr>
              <w:pStyle w:val="Compact"/>
              <w:jc w:val="right"/>
            </w:pPr>
            <w:r>
              <w:t xml:space="preserve">61.2</w:t>
            </w:r>
          </w:p>
        </w:tc>
        <w:tc>
          <w:tcPr/>
          <w:p>
            <w:pPr>
              <w:pStyle w:val="Compact"/>
              <w:jc w:val="right"/>
            </w:pPr>
            <w:r>
              <w:t xml:space="preserve">12.3</w:t>
            </w:r>
          </w:p>
        </w:tc>
        <w:tc>
          <w:tcPr/>
          <w:p>
            <w:pPr>
              <w:pStyle w:val="Compact"/>
              <w:jc w:val="right"/>
            </w:pPr>
            <w:r>
              <w:t xml:space="preserve">−146°</w:t>
            </w:r>
          </w:p>
        </w:tc>
      </w:tr>
      <w:tr>
        <w:tc>
          <w:tcPr/>
          <w:p>
            <w:pPr>
              <w:pStyle w:val="Compact"/>
              <w:jc w:val="right"/>
            </w:pPr>
            <w:r>
              <w:t xml:space="preserve">6</w:t>
            </w:r>
          </w:p>
        </w:tc>
        <w:tc>
          <w:tcPr/>
          <w:p>
            <w:pPr>
              <w:pStyle w:val="Compact"/>
              <w:jc w:val="right"/>
            </w:pPr>
            <w:r>
              <w:t xml:space="preserve">60.8</w:t>
            </w:r>
          </w:p>
        </w:tc>
        <w:tc>
          <w:tcPr/>
          <w:p>
            <w:pPr>
              <w:pStyle w:val="Compact"/>
              <w:jc w:val="right"/>
            </w:pPr>
            <w:r>
              <w:t xml:space="preserve">1.7</w:t>
            </w:r>
          </w:p>
        </w:tc>
        <w:tc>
          <w:tcPr/>
          <w:p>
            <w:pPr>
              <w:pStyle w:val="Compact"/>
              <w:jc w:val="right"/>
            </w:pPr>
            <w:r>
              <w:t xml:space="preserve">37.2</w:t>
            </w:r>
          </w:p>
        </w:tc>
        <w:tc>
          <w:tcPr/>
          <w:p>
            <w:pPr>
              <w:pStyle w:val="Compact"/>
              <w:jc w:val="right"/>
            </w:pPr>
            <w:r>
              <w:t xml:space="preserve">−117°</w:t>
            </w:r>
          </w:p>
        </w:tc>
        <w:tc>
          <w:tcPr/>
          <w:p>
            <w:pPr>
              <w:pStyle w:val="Compact"/>
              <w:jc w:val="right"/>
            </w:pPr>
            <w:r>
              <w:t xml:space="preserve">8.9</w:t>
            </w:r>
          </w:p>
        </w:tc>
        <w:tc>
          <w:tcPr/>
          <w:p>
            <w:pPr>
              <w:pStyle w:val="Compact"/>
              <w:jc w:val="right"/>
            </w:pPr>
            <w:r>
              <w:t xml:space="preserve">37.8</w:t>
            </w:r>
          </w:p>
        </w:tc>
        <w:tc>
          <w:tcPr/>
          <w:p>
            <w:pPr>
              <w:pStyle w:val="Compact"/>
              <w:jc w:val="right"/>
            </w:pPr>
            <w:r>
              <w:t xml:space="preserve">−155°</w:t>
            </w:r>
          </w:p>
        </w:tc>
      </w:tr>
      <w:tr>
        <w:tc>
          <w:tcPr/>
          <w:p>
            <w:pPr>
              <w:pStyle w:val="Compact"/>
              <w:jc w:val="right"/>
            </w:pPr>
            <w:r>
              <w:t xml:space="preserve">7</w:t>
            </w:r>
          </w:p>
        </w:tc>
        <w:tc>
          <w:tcPr/>
          <w:p>
            <w:pPr>
              <w:pStyle w:val="Compact"/>
              <w:jc w:val="right"/>
            </w:pPr>
            <w:r>
              <w:t xml:space="preserve">52.1</w:t>
            </w:r>
          </w:p>
        </w:tc>
        <w:tc>
          <w:tcPr/>
          <w:p>
            <w:pPr>
              <w:pStyle w:val="Compact"/>
              <w:jc w:val="right"/>
            </w:pPr>
            <w:r>
              <w:t xml:space="preserve">3.2</w:t>
            </w:r>
          </w:p>
        </w:tc>
        <w:tc>
          <w:tcPr/>
          <w:p>
            <w:pPr>
              <w:pStyle w:val="Compact"/>
              <w:jc w:val="right"/>
            </w:pPr>
            <w:r>
              <w:t xml:space="preserve">18.4</w:t>
            </w:r>
          </w:p>
        </w:tc>
        <w:tc>
          <w:tcPr/>
          <w:p>
            <w:pPr>
              <w:pStyle w:val="Compact"/>
              <w:jc w:val="right"/>
            </w:pPr>
            <w:r>
              <w:t xml:space="preserve">−111°</w:t>
            </w:r>
          </w:p>
        </w:tc>
        <w:tc>
          <w:tcPr/>
          <w:p>
            <w:pPr>
              <w:pStyle w:val="Compact"/>
              <w:jc w:val="right"/>
            </w:pPr>
            <w:r>
              <w:t xml:space="preserve">57.6</w:t>
            </w:r>
          </w:p>
        </w:tc>
        <w:tc>
          <w:tcPr/>
          <w:p>
            <w:pPr>
              <w:pStyle w:val="Compact"/>
              <w:jc w:val="right"/>
            </w:pPr>
            <w:r>
              <w:t xml:space="preserve">19.3</w:t>
            </w:r>
          </w:p>
        </w:tc>
        <w:tc>
          <w:tcPr/>
          <w:p>
            <w:pPr>
              <w:pStyle w:val="Compact"/>
              <w:jc w:val="right"/>
            </w:pPr>
            <w:r>
              <w:t xml:space="preserve">−115°</w:t>
            </w:r>
          </w:p>
        </w:tc>
      </w:tr>
      <w:tr>
        <w:tc>
          <w:tcPr/>
          <w:p>
            <w:pPr>
              <w:pStyle w:val="Compact"/>
              <w:jc w:val="right"/>
            </w:pPr>
            <w:r>
              <w:t xml:space="preserve">8</w:t>
            </w:r>
          </w:p>
        </w:tc>
        <w:tc>
          <w:tcPr/>
          <w:p>
            <w:pPr>
              <w:pStyle w:val="Compact"/>
              <w:jc w:val="right"/>
            </w:pPr>
            <w:r>
              <w:t xml:space="preserve">45.6</w:t>
            </w:r>
          </w:p>
        </w:tc>
        <w:tc>
          <w:tcPr/>
          <w:p>
            <w:pPr>
              <w:pStyle w:val="Compact"/>
              <w:jc w:val="right"/>
            </w:pPr>
            <w:r>
              <w:t xml:space="preserve">4.6</w:t>
            </w:r>
          </w:p>
        </w:tc>
        <w:tc>
          <w:tcPr/>
          <w:p>
            <w:pPr>
              <w:pStyle w:val="Compact"/>
              <w:jc w:val="right"/>
            </w:pPr>
            <w:r>
              <w:t xml:space="preserve">22.3</w:t>
            </w:r>
          </w:p>
        </w:tc>
        <w:tc>
          <w:tcPr/>
          <w:p>
            <w:pPr>
              <w:pStyle w:val="Compact"/>
              <w:jc w:val="right"/>
            </w:pPr>
            <w:r>
              <w:t xml:space="preserve">+123°</w:t>
            </w:r>
          </w:p>
        </w:tc>
        <w:tc>
          <w:tcPr/>
          <w:p>
            <w:pPr>
              <w:pStyle w:val="Compact"/>
              <w:jc w:val="right"/>
            </w:pPr>
            <w:r>
              <w:t xml:space="preserve">21.4</w:t>
            </w:r>
          </w:p>
        </w:tc>
        <w:tc>
          <w:tcPr/>
          <w:p>
            <w:pPr>
              <w:pStyle w:val="Compact"/>
              <w:jc w:val="right"/>
            </w:pPr>
            <w:r>
              <w:t xml:space="preserve">23.2</w:t>
            </w:r>
          </w:p>
        </w:tc>
        <w:tc>
          <w:tcPr/>
          <w:p>
            <w:pPr>
              <w:pStyle w:val="Compact"/>
              <w:jc w:val="right"/>
            </w:pPr>
            <w:r>
              <w:t xml:space="preserve">+74°</w:t>
            </w:r>
          </w:p>
        </w:tc>
      </w:tr>
      <w:tr>
        <w:tc>
          <w:tcPr/>
          <w:p>
            <w:pPr>
              <w:pStyle w:val="Compact"/>
              <w:jc w:val="right"/>
            </w:pPr>
            <w:r>
              <w:t xml:space="preserve">9</w:t>
            </w:r>
          </w:p>
        </w:tc>
        <w:tc>
          <w:tcPr/>
          <w:p>
            <w:pPr>
              <w:pStyle w:val="Compact"/>
              <w:jc w:val="right"/>
            </w:pPr>
            <w:r>
              <w:t xml:space="preserve">40.6</w:t>
            </w:r>
          </w:p>
        </w:tc>
        <w:tc>
          <w:tcPr/>
          <w:p>
            <w:pPr>
              <w:pStyle w:val="Compact"/>
              <w:jc w:val="right"/>
            </w:pPr>
            <w:r>
              <w:t xml:space="preserve">4.1</w:t>
            </w:r>
          </w:p>
        </w:tc>
        <w:tc>
          <w:tcPr/>
          <w:p>
            <w:pPr>
              <w:pStyle w:val="Compact"/>
              <w:jc w:val="right"/>
            </w:pPr>
            <w:r>
              <w:t xml:space="preserve">14.1</w:t>
            </w:r>
          </w:p>
        </w:tc>
        <w:tc>
          <w:tcPr/>
          <w:p>
            <w:pPr>
              <w:pStyle w:val="Compact"/>
              <w:jc w:val="right"/>
            </w:pPr>
            <w:r>
              <w:t xml:space="preserve">+90°</w:t>
            </w:r>
          </w:p>
        </w:tc>
        <w:tc>
          <w:tcPr/>
          <w:p>
            <w:pPr>
              <w:pStyle w:val="Compact"/>
              <w:jc w:val="right"/>
            </w:pPr>
            <w:r>
              <w:t xml:space="preserve">29.4</w:t>
            </w:r>
          </w:p>
        </w:tc>
        <w:tc>
          <w:tcPr/>
          <w:p>
            <w:pPr>
              <w:pStyle w:val="Compact"/>
              <w:jc w:val="right"/>
            </w:pPr>
            <w:r>
              <w:t xml:space="preserve">13.4</w:t>
            </w:r>
          </w:p>
        </w:tc>
        <w:tc>
          <w:tcPr/>
          <w:p>
            <w:pPr>
              <w:pStyle w:val="Compact"/>
              <w:jc w:val="right"/>
            </w:pPr>
            <w:r>
              <w:t xml:space="preserve">+81°</w:t>
            </w:r>
          </w:p>
        </w:tc>
      </w:tr>
      <w:tr>
        <w:tc>
          <w:tcPr/>
          <w:p>
            <w:pPr>
              <w:pStyle w:val="Compact"/>
              <w:jc w:val="right"/>
            </w:pPr>
            <w:r>
              <w:t xml:space="preserve">10</w:t>
            </w:r>
          </w:p>
        </w:tc>
        <w:tc>
          <w:tcPr/>
          <w:p>
            <w:pPr>
              <w:pStyle w:val="Compact"/>
              <w:jc w:val="right"/>
            </w:pPr>
            <w:r>
              <w:t xml:space="preserve">36.5</w:t>
            </w:r>
          </w:p>
        </w:tc>
        <w:tc>
          <w:tcPr/>
          <w:p>
            <w:pPr>
              <w:pStyle w:val="Compact"/>
              <w:jc w:val="right"/>
            </w:pPr>
            <w:r>
              <w:t xml:space="preserve">4.2</w:t>
            </w:r>
          </w:p>
        </w:tc>
        <w:tc>
          <w:tcPr/>
          <w:p>
            <w:pPr>
              <w:pStyle w:val="Compact"/>
              <w:jc w:val="right"/>
            </w:pPr>
            <w:r>
              <w:t xml:space="preserve">38.3</w:t>
            </w:r>
          </w:p>
        </w:tc>
        <w:tc>
          <w:tcPr/>
          <w:p>
            <w:pPr>
              <w:pStyle w:val="Compact"/>
              <w:jc w:val="right"/>
            </w:pPr>
            <w:r>
              <w:t xml:space="preserve">−15°</w:t>
            </w:r>
          </w:p>
        </w:tc>
        <w:tc>
          <w:tcPr/>
          <w:p>
            <w:pPr>
              <w:pStyle w:val="Compact"/>
              <w:jc w:val="right"/>
            </w:pPr>
            <w:r>
              <w:t xml:space="preserve">51.3</w:t>
            </w:r>
          </w:p>
        </w:tc>
        <w:tc>
          <w:tcPr/>
          <w:p>
            <w:pPr>
              <w:pStyle w:val="Compact"/>
              <w:jc w:val="right"/>
            </w:pPr>
            <w:r>
              <w:t xml:space="preserve">39.7</w:t>
            </w:r>
          </w:p>
        </w:tc>
        <w:tc>
          <w:tcPr/>
          <w:p>
            <w:pPr>
              <w:pStyle w:val="Compact"/>
              <w:jc w:val="right"/>
            </w:pPr>
            <w:r>
              <w:t xml:space="preserve">−52°</w:t>
            </w:r>
          </w:p>
        </w:tc>
      </w:tr>
      <w:tr>
        <w:tc>
          <w:tcPr/>
          <w:p>
            <w:pPr>
              <w:pStyle w:val="Compact"/>
              <w:jc w:val="right"/>
            </w:pPr>
            <m:oMath>
              <m:sSup>
                <m:e>
                  <m:r>
                    <m:t>R</m:t>
                  </m:r>
                </m:e>
                <m:sup>
                  <m:r>
                    <m:t>2</m:t>
                  </m:r>
                </m:sup>
              </m:sSup>
            </m:oMath>
            <w:r>
              <w:t xml:space="preserve"> </w:t>
            </w:r>
            <w:r>
              <w:t xml:space="preserve">of the order-10 projection</w:t>
            </w:r>
          </w:p>
        </w:tc>
        <w:tc>
          <w:tcPr/>
          <w:p>
            <w:pPr>
              <w:pStyle w:val="Compact"/>
            </w:pPr>
          </w:p>
        </w:tc>
        <w:tc>
          <w:tcPr/>
          <w:p>
            <w:pPr>
              <w:pStyle w:val="Compact"/>
              <w:jc w:val="right"/>
            </w:pPr>
            <w:r>
              <w:t xml:space="preserve">0.9979</w:t>
            </w:r>
          </w:p>
        </w:tc>
        <w:tc>
          <w:tcPr/>
          <w:p>
            <w:pPr>
              <w:pStyle w:val="Compact"/>
              <w:jc w:val="right"/>
            </w:pPr>
            <w:r>
              <w:t xml:space="preserve">0.9977</w:t>
            </w:r>
          </w:p>
        </w:tc>
        <w:tc>
          <w:tcPr/>
          <w:p>
            <w:pPr>
              <w:pStyle w:val="Compact"/>
            </w:pPr>
          </w:p>
        </w:tc>
        <w:tc>
          <w:tcPr/>
          <w:p>
            <w:pPr>
              <w:pStyle w:val="Compact"/>
              <w:jc w:val="right"/>
            </w:pPr>
            <w:r>
              <w:t xml:space="preserve">0.99997</w:t>
            </w:r>
          </w:p>
        </w:tc>
        <w:tc>
          <w:tcPr/>
          <w:p>
            <w:pPr>
              <w:pStyle w:val="Compact"/>
              <w:jc w:val="right"/>
            </w:pPr>
            <w:r>
              <w:t xml:space="preserve">0.9992</w:t>
            </w:r>
          </w:p>
        </w:tc>
        <w:tc>
          <w:tcPr/>
          <w:p>
            <w:pPr>
              <w:pStyle w:val="Compact"/>
            </w:pPr>
          </w:p>
        </w:tc>
      </w:tr>
    </w:tbl>
    <w:p>
      <w:pPr>
        <w:pStyle w:val="BodyText"/>
      </w:pPr>
      <w:r>
        <w:t xml:space="preserve">The antiphase is carried by the semiannual harmonic. At</w:t>
      </w:r>
      <w:r>
        <w:t xml:space="preserve"> </w:t>
      </w:r>
      <m:oMath>
        <m:r>
          <m:t>n</m:t>
        </m:r>
        <m:r>
          <m:rPr>
            <m:sty m:val="p"/>
          </m:rPr>
          <m:t>=</m:t>
        </m:r>
        <m:r>
          <m:t>2</m:t>
        </m:r>
      </m:oMath>
      <w:r>
        <w:t xml:space="preserve">, which holds the largest geomagnetic amplitude in both renderings (40–41 % of trend) and is the harmonic of the Russell–McPherron effect, the phase difference is</w:t>
      </w:r>
      <w:r>
        <w:t xml:space="preserve"> </w:t>
      </w:r>
      <m:oMath>
        <m:r>
          <m:rPr>
            <m:sty m:val="p"/>
          </m:rPr>
          <m:t>−</m:t>
        </m:r>
        <m:r>
          <m:t>160</m:t>
        </m:r>
        <m:r>
          <m:rPr>
            <m:sty m:val="p"/>
          </m:rPr>
          <m:t>°</m:t>
        </m:r>
      </m:oMath>
      <w:r>
        <w:t xml:space="preserve"> </w:t>
      </w:r>
      <w:r>
        <w:t xml:space="preserve">and</w:t>
      </w:r>
      <w:r>
        <w:t xml:space="preserve"> </w:t>
      </w:r>
      <m:oMath>
        <m:r>
          <m:rPr>
            <m:sty m:val="p"/>
          </m:rPr>
          <m:t>−</m:t>
        </m:r>
        <m:r>
          <m:t>166</m:t>
        </m:r>
        <m:r>
          <m:rPr>
            <m:sty m:val="p"/>
          </m:rPr>
          <m:t>°</m:t>
        </m:r>
      </m:oMath>
      <w:r>
        <w:t xml:space="preserve">: search interest troughs at the equinoctial geomagnetic maxima and peaks at the solstices. This is the only harmonic whose geomagnetic phase was found stable across years (Section 1.3), so it is the only harmonic on which an annual relation between the two series can be stated at all, and on that harmonic the relation is opposition with a lag of ten days (</w:t>
      </w:r>
      <m:oMath>
        <m:r>
          <m:t>20</m:t>
        </m:r>
        <m:r>
          <m:rPr>
            <m:sty m:val="p"/>
          </m:rPr>
          <m:t>°</m:t>
        </m:r>
      </m:oMath>
      <w:r>
        <w:t xml:space="preserve"> </w:t>
      </w:r>
      <w:r>
        <w:t xml:space="preserve">of a 182.5-day cycle). The high harmonics</w:t>
      </w:r>
      <w:r>
        <w:t xml:space="preserve"> </w:t>
      </w:r>
      <m:oMath>
        <m:r>
          <m:t>n</m:t>
        </m:r>
        <m:r>
          <m:rPr>
            <m:sty m:val="p"/>
          </m:rPr>
          <m:t>=</m:t>
        </m:r>
        <m:r>
          <m:t>8</m:t>
        </m:r>
      </m:oMath>
      <w:r>
        <w:t xml:space="preserve">–</w:t>
      </w:r>
      <m:oMath>
        <m:r>
          <m:t>10</m:t>
        </m:r>
      </m:oMath>
      <w:r>
        <w:t xml:space="preserve"> </w:t>
      </w:r>
      <w:r>
        <w:t xml:space="preserve">carry 36–37 % of the geomagnetic power and 26–31 % of the search power.</w:t>
      </w:r>
    </w:p>
    <w:p>
      <w:pPr>
        <w:pStyle w:val="BodyText"/>
      </w:pPr>
      <w:r>
        <w:t xml:space="preserve">We anticipate the objection that power near the truncation order is an artefact of the basis, and answer the insinuation rather than the objection, after the supercat presupposition (Samokhvalov, forthcoming). An artefact of the basis would appear in any series projected onto it; it would not appear with a consistent phase relation in two series of independent provenance, nor would it survive the replacement of one of them by a recomputation on definitive data, which it does (Section 3.3, first paragraph). The finding is not the power; the finding is the phase.</w:t>
      </w:r>
    </w:p>
    <w:p>
      <w:pPr>
        <w:pStyle w:val="CaptionedFigure"/>
      </w:pPr>
      <w:r>
        <w:drawing>
          <wp:inline>
            <wp:extent cx="5334000" cy="2400300"/>
            <wp:effectExtent b="0" l="0" r="0" t="0"/>
            <wp:docPr descr="Dot-product coherence C(τ) of the two annual components for both renderings; the marked extrema are the minima at τ = 15 d and 12 d." title="" id="51" name="Picture"/>
            <a:graphic>
              <a:graphicData uri="http://schemas.openxmlformats.org/drawingml/2006/picture">
                <pic:pic>
                  <pic:nvPicPr>
                    <pic:cNvPr descr="fig_S2_coherence.png" id="52" name="Picture"/>
                    <pic:cNvPicPr>
                      <a:picLocks noChangeArrowheads="1" noChangeAspect="1"/>
                    </pic:cNvPicPr>
                  </pic:nvPicPr>
                  <pic:blipFill>
                    <a:blip r:embed="rId50"/>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Dot-product coherence C(τ) of the two annual components for both renderings; the marked extrema are the minima at τ = 15 d and 12 d.</w:t>
      </w:r>
    </w:p>
    <w:bookmarkEnd w:id="53"/>
    <w:bookmarkStart w:id="54" w:name="X1ee24e0d0d296891aff037072a2e92556cd9d35"/>
    <w:p>
      <w:pPr>
        <w:pStyle w:val="Heading2"/>
      </w:pPr>
      <w:r>
        <w:t xml:space="preserve">3.4 Instantaneous phase, phase locking and peak pairing</w:t>
      </w:r>
    </w:p>
    <w:p>
      <w:pPr>
        <w:pStyle w:val="FirstParagraph"/>
      </w:pPr>
      <w:r>
        <w:t xml:space="preserve">The instantaneous phase</w:t>
      </w:r>
      <w:r>
        <w:t xml:space="preserve"> </w:t>
      </w:r>
      <m:oMath>
        <m:r>
          <m:t>φ</m:t>
        </m:r>
        <m:d>
          <m:dPr>
            <m:begChr m:val="("/>
            <m:endChr m:val=")"/>
            <m:sepChr m:val=""/>
            <m:grow/>
          </m:dPr>
          <m:e>
            <m:r>
              <m:t>t</m:t>
            </m:r>
          </m:e>
        </m:d>
        <m:r>
          <m:rPr>
            <m:sty m:val="p"/>
          </m:rPr>
          <m:t>=</m:t>
        </m:r>
        <m:r>
          <m:rPr>
            <m:sty m:val="p"/>
          </m:rPr>
          <m:t>arg</m:t>
        </m:r>
        <m:d>
          <m:dPr>
            <m:begChr m:val="["/>
            <m:endChr m:val="]"/>
            <m:sepChr m:val=""/>
            <m:grow/>
          </m:dPr>
          <m:e>
            <m:r>
              <m:t>s</m:t>
            </m:r>
            <m:d>
              <m:dPr>
                <m:begChr m:val="("/>
                <m:endChr m:val=")"/>
                <m:sepChr m:val=""/>
                <m:grow/>
              </m:dPr>
              <m:e>
                <m:r>
                  <m:t>t</m:t>
                </m:r>
              </m:e>
            </m:d>
            <m:r>
              <m:rPr>
                <m:sty m:val="p"/>
              </m:rPr>
              <m:t>+</m:t>
            </m:r>
            <m:r>
              <m:t>i</m:t>
            </m:r>
            <m:r>
              <m:t> </m:t>
            </m:r>
            <m:r>
              <m:rPr>
                <m:sty m:val="p"/>
                <m:scr m:val="script"/>
              </m:rPr>
              <m:t>H</m:t>
            </m:r>
            <m:r>
              <m:rPr>
                <m:sty m:val="p"/>
              </m:rPr>
              <m:t>{</m:t>
            </m:r>
            <m:r>
              <m:t>s</m:t>
            </m:r>
            <m:r>
              <m:rPr>
                <m:sty m:val="p"/>
              </m:rPr>
              <m:t>}</m:t>
            </m:r>
            <m:d>
              <m:dPr>
                <m:begChr m:val="("/>
                <m:endChr m:val=")"/>
                <m:sepChr m:val=""/>
                <m:grow/>
              </m:dPr>
              <m:e>
                <m:r>
                  <m:t>t</m:t>
                </m:r>
              </m:e>
            </m:d>
          </m:e>
        </m:d>
      </m:oMath>
      <w:r>
        <w:t xml:space="preserve"> </w:t>
      </w:r>
      <w:r>
        <w:t xml:space="preserve">was taken from the analytic signal (Gabor, 1946), computed by the FFT, which is exact for a periodic signal sampled over a full period and so avoids the edge failures of the Hilbert phase on broadband segments (Boashash, 1992). The phase-locking value (Lachaux et al., 1999) is</w:t>
      </w:r>
      <w:r>
        <w:t xml:space="preserve"> </w:t>
      </w:r>
      <m:oMath>
        <m:r>
          <m:rPr>
            <m:sty m:val="p"/>
          </m:rPr>
          <m:t>P</m:t>
        </m:r>
        <m:r>
          <m:rPr>
            <m:sty m:val="p"/>
          </m:rPr>
          <m:t>L</m:t>
        </m:r>
        <m:r>
          <m:rPr>
            <m:sty m:val="p"/>
          </m:rPr>
          <m:t>V</m:t>
        </m:r>
        <m:r>
          <m:rPr>
            <m:sty m:val="p"/>
          </m:rPr>
          <m:t>=</m:t>
        </m:r>
        <m:r>
          <m:rPr>
            <m:sty m:val="p"/>
          </m:rPr>
          <m:t>|</m:t>
        </m:r>
        <m:r>
          <m:rPr>
            <m:sty m:val="p"/>
          </m:rPr>
          <m:t>⟨</m:t>
        </m:r>
        <m:sSup>
          <m:e>
            <m:r>
              <m:t>e</m:t>
            </m:r>
          </m:e>
          <m:sup>
            <m:r>
              <m:t>i</m:t>
            </m:r>
            <m:d>
              <m:dPr>
                <m:begChr m:val="("/>
                <m:endChr m:val=")"/>
                <m:sepChr m:val=""/>
                <m:grow/>
              </m:dPr>
              <m:e>
                <m:sSub>
                  <m:e>
                    <m:r>
                      <m:t>φ</m:t>
                    </m:r>
                  </m:e>
                  <m:sub>
                    <m:r>
                      <m:t>U</m:t>
                    </m:r>
                  </m:sub>
                </m:sSub>
                <m:r>
                  <m:rPr>
                    <m:sty m:val="p"/>
                  </m:rPr>
                  <m:t>−</m:t>
                </m:r>
                <m:sSub>
                  <m:e>
                    <m:r>
                      <m:t>φ</m:t>
                    </m:r>
                  </m:e>
                  <m:sub>
                    <m:r>
                      <m:t>A</m:t>
                    </m:r>
                  </m:sub>
                </m:sSub>
              </m:e>
            </m:d>
          </m:sup>
        </m:sSup>
        <m:r>
          <m:rPr>
            <m:sty m:val="p"/>
          </m:rPr>
          <m:t>⟩</m:t>
        </m:r>
        <m:r>
          <m:rPr>
            <m:sty m:val="p"/>
          </m:rPr>
          <m:t>|</m:t>
        </m:r>
      </m:oMath>
      <w:r>
        <w:t xml:space="preserve">. At zero lag</w:t>
      </w:r>
      <w:r>
        <w:t xml:space="preserve"> </w:t>
      </w:r>
      <m:oMath>
        <m:r>
          <m:rPr>
            <m:sty m:val="p"/>
          </m:rPr>
          <m:t>P</m:t>
        </m:r>
        <m:r>
          <m:rPr>
            <m:sty m:val="p"/>
          </m:rPr>
          <m:t>L</m:t>
        </m:r>
        <m:r>
          <m:rPr>
            <m:sty m:val="p"/>
          </m:rPr>
          <m:t>V</m:t>
        </m:r>
        <m:r>
          <m:rPr>
            <m:sty m:val="p"/>
          </m:rPr>
          <m:t>=</m:t>
        </m:r>
        <m:r>
          <m:t>0.45</m:t>
        </m:r>
      </m:oMath>
      <w:r>
        <w:t xml:space="preserve"> </w:t>
      </w:r>
      <w:r>
        <w:t xml:space="preserve">(</w:t>
      </w:r>
      <w:r>
        <w:rPr>
          <w:iCs/>
          <w:i/>
        </w:rPr>
        <w:t xml:space="preserve">fig4</w:t>
      </w:r>
      <w:r>
        <w:t xml:space="preserve">) and</w:t>
      </w:r>
      <w:r>
        <w:t xml:space="preserve"> </w:t>
      </w:r>
      <m:oMath>
        <m:r>
          <m:t>0.40</m:t>
        </m:r>
      </m:oMath>
      <w:r>
        <w:t xml:space="preserve"> </w:t>
      </w:r>
      <w:r>
        <w:t xml:space="preserve">(</w:t>
      </w:r>
      <w:r>
        <w:rPr>
          <w:iCs/>
          <w:i/>
        </w:rPr>
        <w:t xml:space="preserve">fig5</w:t>
      </w:r>
      <w:r>
        <w:t xml:space="preserve">), with circular mean phase difference</w:t>
      </w:r>
      <w:r>
        <w:t xml:space="preserve"> </w:t>
      </w:r>
      <m:oMath>
        <m:r>
          <m:rPr>
            <m:sty m:val="p"/>
          </m:rPr>
          <m:t>+</m:t>
        </m:r>
        <m:r>
          <m:t>158</m:t>
        </m:r>
        <m:r>
          <m:rPr>
            <m:sty m:val="p"/>
          </m:rPr>
          <m:t>°</m:t>
        </m:r>
      </m:oMath>
      <w:r>
        <w:t xml:space="preserve"> </w:t>
      </w:r>
      <w:r>
        <w:t xml:space="preserve">and</w:t>
      </w:r>
      <w:r>
        <w:t xml:space="preserve"> </w:t>
      </w:r>
      <m:oMath>
        <m:r>
          <m:rPr>
            <m:sty m:val="p"/>
          </m:rPr>
          <m:t>+</m:t>
        </m:r>
        <m:r>
          <m:t>162</m:t>
        </m:r>
        <m:r>
          <m:rPr>
            <m:sty m:val="p"/>
          </m:rPr>
          <m:t>°</m:t>
        </m:r>
      </m:oMath>
      <w:r>
        <w:t xml:space="preserve">; at the anti-coherent lag</w:t>
      </w:r>
      <w:r>
        <w:t xml:space="preserve"> </w:t>
      </w:r>
      <m:oMath>
        <m:r>
          <m:rPr>
            <m:sty m:val="p"/>
          </m:rPr>
          <m:t>P</m:t>
        </m:r>
        <m:r>
          <m:rPr>
            <m:sty m:val="p"/>
          </m:rPr>
          <m:t>L</m:t>
        </m:r>
        <m:r>
          <m:rPr>
            <m:sty m:val="p"/>
          </m:rPr>
          <m:t>V</m:t>
        </m:r>
        <m:r>
          <m:rPr>
            <m:sty m:val="p"/>
          </m:rPr>
          <m:t>=</m:t>
        </m:r>
        <m:r>
          <m:t>0.37</m:t>
        </m:r>
      </m:oMath>
      <w:r>
        <w:t xml:space="preserve"> </w:t>
      </w:r>
      <w:r>
        <w:t xml:space="preserve">and</w:t>
      </w:r>
      <w:r>
        <w:t xml:space="preserve"> </w:t>
      </w:r>
      <m:oMath>
        <m:r>
          <m:t>0.42</m:t>
        </m:r>
      </m:oMath>
      <w:r>
        <w:t xml:space="preserve"> </w:t>
      </w:r>
      <w:r>
        <w:t xml:space="preserve">with mean difference</w:t>
      </w:r>
      <w:r>
        <w:t xml:space="preserve"> </w:t>
      </w:r>
      <m:oMath>
        <m:r>
          <m:rPr>
            <m:sty m:val="p"/>
          </m:rPr>
          <m:t>−</m:t>
        </m:r>
        <m:r>
          <m:t>159</m:t>
        </m:r>
        <m:r>
          <m:rPr>
            <m:sty m:val="p"/>
          </m:rPr>
          <m:t>°</m:t>
        </m:r>
      </m:oMath>
      <w:r>
        <w:t xml:space="preserve"> </w:t>
      </w:r>
      <w:r>
        <w:t xml:space="preserve">and</w:t>
      </w:r>
      <w:r>
        <w:t xml:space="preserve"> </w:t>
      </w:r>
      <m:oMath>
        <m:r>
          <m:rPr>
            <m:sty m:val="p"/>
          </m:rPr>
          <m:t>−</m:t>
        </m:r>
        <m:r>
          <m:t>147</m:t>
        </m:r>
        <m:r>
          <m:rPr>
            <m:sty m:val="p"/>
          </m:rPr>
          <m:t>°</m:t>
        </m:r>
      </m:oMath>
      <w:r>
        <w:t xml:space="preserve">. The locking is moderate and the locked relation is opposition.</w:t>
      </w:r>
    </w:p>
    <w:p>
      <w:pPr>
        <w:pStyle w:val="BodyText"/>
      </w:pPr>
      <w:r>
        <w:t xml:space="preserve">The source’s pairing (Figure 3) was reproduced algorithmically: local maxima of each component with prominence of at least 10 % of range were located on the circle, and each geomagnetic maximum was paired with the first search maximum within 45 days after it. Of eight geomagnetic maxima, six (</w:t>
      </w:r>
      <w:r>
        <w:rPr>
          <w:iCs/>
          <w:i/>
        </w:rPr>
        <w:t xml:space="preserve">fig4</w:t>
      </w:r>
      <w:r>
        <w:t xml:space="preserve">) and seven (</w:t>
      </w:r>
      <w:r>
        <w:rPr>
          <w:iCs/>
          <w:i/>
        </w:rPr>
        <w:t xml:space="preserve">fig5</w:t>
      </w:r>
      <w:r>
        <w:t xml:space="preserve">) acquire a partner, at lags of 24, 17, 5, 8, 37 and 36 days (</w:t>
      </w:r>
      <w:r>
        <w:rPr>
          <w:iCs/>
          <w:i/>
        </w:rPr>
        <w:t xml:space="preserve">fig4</w:t>
      </w:r>
      <w:r>
        <w:t xml:space="preserve">; mean 21.2 d, SD 13.6 d) and 24, 19, 35, 2, 35, 35 and 38 days (</w:t>
      </w:r>
      <w:r>
        <w:rPr>
          <w:iCs/>
          <w:i/>
        </w:rPr>
        <w:t xml:space="preserve">fig5</w:t>
      </w:r>
      <w:r>
        <w:t xml:space="preserve">; mean 26.9 d, SD 13.0 d). Mapped onto the circle of the dominant high harmonic (</w:t>
      </w:r>
      <m:oMath>
        <m:r>
          <m:t>n</m:t>
        </m:r>
        <m:r>
          <m:rPr>
            <m:sty m:val="p"/>
          </m:rPr>
          <m:t>=</m:t>
        </m:r>
        <m:r>
          <m:t>10</m:t>
        </m:r>
      </m:oMath>
      <w:r>
        <w:t xml:space="preserve">, 36.5 d) and tested for concentration, the lags give</w:t>
      </w:r>
      <w:r>
        <w:t xml:space="preserve"> </w:t>
      </w:r>
      <m:oMath>
        <m:acc>
          <m:accPr>
            <m:chr m:val="‾"/>
          </m:accPr>
          <m:e>
            <m:r>
              <m:t>R</m:t>
            </m:r>
          </m:e>
        </m:acc>
        <m:r>
          <m:rPr>
            <m:sty m:val="p"/>
          </m:rPr>
          <m:t>=</m:t>
        </m:r>
        <m:r>
          <m:t>0.29</m:t>
        </m:r>
      </m:oMath>
      <w:r>
        <w:t xml:space="preserve">,</w:t>
      </w:r>
      <w:r>
        <w:t xml:space="preserve"> </w:t>
      </w:r>
      <m:oMath>
        <m:r>
          <m:t>Z</m:t>
        </m:r>
        <m:r>
          <m:rPr>
            <m:sty m:val="p"/>
          </m:rPr>
          <m:t>=</m:t>
        </m:r>
        <m:r>
          <m:t>0.49</m:t>
        </m:r>
      </m:oMath>
      <w:r>
        <w:t xml:space="preserve">,</w:t>
      </w:r>
      <w:r>
        <w:t xml:space="preserve"> </w:t>
      </w:r>
      <m:oMath>
        <m:r>
          <m:t>p</m:t>
        </m:r>
        <m:r>
          <m:rPr>
            <m:sty m:val="p"/>
          </m:rPr>
          <m:t>=</m:t>
        </m:r>
        <m:r>
          <m:t>0.63</m:t>
        </m:r>
      </m:oMath>
      <w:r>
        <w:t xml:space="preserve"> </w:t>
      </w:r>
      <w:r>
        <w:t xml:space="preserve">(</w:t>
      </w:r>
      <w:r>
        <w:rPr>
          <w:iCs/>
          <w:i/>
        </w:rPr>
        <w:t xml:space="preserve">fig4</w:t>
      </w:r>
      <w:r>
        <w:t xml:space="preserve">) and</w:t>
      </w:r>
      <w:r>
        <w:t xml:space="preserve"> </w:t>
      </w:r>
      <m:oMath>
        <m:acc>
          <m:accPr>
            <m:chr m:val="‾"/>
          </m:accPr>
          <m:e>
            <m:r>
              <m:t>R</m:t>
            </m:r>
          </m:e>
        </m:acc>
        <m:r>
          <m:rPr>
            <m:sty m:val="p"/>
          </m:rPr>
          <m:t>=</m:t>
        </m:r>
        <m:r>
          <m:t>0.49</m:t>
        </m:r>
      </m:oMath>
      <w:r>
        <w:t xml:space="preserve">,</w:t>
      </w:r>
      <w:r>
        <w:t xml:space="preserve"> </w:t>
      </w:r>
      <m:oMath>
        <m:r>
          <m:t>Z</m:t>
        </m:r>
        <m:r>
          <m:rPr>
            <m:sty m:val="p"/>
          </m:rPr>
          <m:t>=</m:t>
        </m:r>
        <m:r>
          <m:t>1.71</m:t>
        </m:r>
      </m:oMath>
      <w:r>
        <w:t xml:space="preserve">,</w:t>
      </w:r>
      <w:r>
        <w:t xml:space="preserve"> </w:t>
      </w:r>
      <m:oMath>
        <m:r>
          <m:t>p</m:t>
        </m:r>
        <m:r>
          <m:rPr>
            <m:sty m:val="p"/>
          </m:rPr>
          <m:t>=</m:t>
        </m:r>
        <m:r>
          <m:t>0.18</m:t>
        </m:r>
      </m:oMath>
      <w:r>
        <w:t xml:space="preserve"> </w:t>
      </w:r>
      <w:r>
        <w:t xml:space="preserve">(</w:t>
      </w:r>
      <w:r>
        <w:rPr>
          <w:iCs/>
          <w:i/>
        </w:rPr>
        <w:t xml:space="preserve">fig5</w:t>
      </w:r>
      <w:r>
        <w:t xml:space="preserve">). The nine lines the author drew by hand become six or seven by rule, and their lags are not distinguishable from a uniform scatter. The pairing is not rejected; neither is it supported. For the festival specifically, the geomagnetic maximum of 8–10 November pairs with the search maximum of 16 December, a lag of 36–38 days, which the matrix of Section 2.5 would call the refractory interval between harvest and recovery.</w:t>
      </w:r>
    </w:p>
    <w:bookmarkEnd w:id="54"/>
    <w:bookmarkStart w:id="64" w:name="the-31-october-2021-event"/>
    <w:p>
      <w:pPr>
        <w:pStyle w:val="Heading2"/>
      </w:pPr>
      <w:r>
        <w:t xml:space="preserve">3.5 The 31 October 2021 event</w:t>
      </w:r>
    </w:p>
    <w:p>
      <w:pPr>
        <w:pStyle w:val="FirstParagraph"/>
      </w:pPr>
      <w:r>
        <w:rPr>
          <w:iCs/>
          <w:i/>
        </w:rPr>
        <w:t xml:space="preserve">The field.</w:t>
      </w:r>
      <w:r>
        <w:t xml:space="preserve"> </w:t>
      </w:r>
      <w:r>
        <w:t xml:space="preserve">Daily</w:t>
      </w:r>
      <w:r>
        <w:t xml:space="preserve"> </w:t>
      </w:r>
      <m:oMath>
        <m:sSub>
          <m:e>
            <m:r>
              <m:t>A</m:t>
            </m:r>
          </m:e>
          <m:sub>
            <m:r>
              <m:t>p</m:t>
            </m:r>
          </m:sub>
        </m:sSub>
      </m:oMath>
      <w:r>
        <w:t xml:space="preserve"> </w:t>
      </w:r>
      <w:r>
        <w:t xml:space="preserve">over the week was 4, 4, 2, 1, 1, 8 and 14 nT for 25–31 October, then 8 on 1 November. The festival was the most disturbed day of its week, a fourteen-fold rise from the two days preceding it; days with</w:t>
      </w:r>
      <w:r>
        <w:t xml:space="preserve"> </w:t>
      </w:r>
      <m:oMath>
        <m:sSub>
          <m:e>
            <m:r>
              <m:t>A</m:t>
            </m:r>
          </m:e>
          <m:sub>
            <m:r>
              <m:t>p</m:t>
            </m:r>
          </m:sub>
        </m:sSub>
        <m:r>
          <m:rPr>
            <m:sty m:val="p"/>
          </m:rPr>
          <m:t>≥</m:t>
        </m:r>
        <m:r>
          <m:t>14</m:t>
        </m:r>
      </m:oMath>
      <w:r>
        <w:t xml:space="preserve"> </w:t>
      </w:r>
      <w:r>
        <w:t xml:space="preserve">make up 15.9 % of the vintage, days with</w:t>
      </w:r>
      <w:r>
        <w:t xml:space="preserve"> </w:t>
      </w:r>
      <m:oMath>
        <m:sSub>
          <m:e>
            <m:r>
              <m:t>A</m:t>
            </m:r>
          </m:e>
          <m:sub>
            <m:r>
              <m:t>p</m:t>
            </m:r>
          </m:sub>
        </m:sSub>
        <m:r>
          <m:rPr>
            <m:sty m:val="p"/>
          </m:rPr>
          <m:t>≤</m:t>
        </m:r>
        <m:r>
          <m:t>1</m:t>
        </m:r>
      </m:oMath>
      <w:r>
        <w:t xml:space="preserve"> </w:t>
      </w:r>
      <w:r>
        <w:t xml:space="preserve">5.0 %. Among the twenty-one festivals of 2004–2024, that of 2021 ranks second (after 2005,</w:t>
      </w:r>
      <w:r>
        <w:t xml:space="preserve"> </w:t>
      </w:r>
      <m:oMath>
        <m:sSub>
          <m:e>
            <m:r>
              <m:t>A</m:t>
            </m:r>
          </m:e>
          <m:sub>
            <m:r>
              <m:t>p</m:t>
            </m:r>
          </m:sub>
        </m:sSub>
        <m:r>
          <m:rPr>
            <m:sty m:val="p"/>
          </m:rPr>
          <m:t>=</m:t>
        </m:r>
        <m:r>
          <m:t>17</m:t>
        </m:r>
      </m:oMath>
      <w:r>
        <w:t xml:space="preserve">). Figure 7 is the source’s provisional ISGI plot; Table 4 gives the definitive three-hourly values around the search maximum.</w:t>
      </w:r>
    </w:p>
    <w:p>
      <w:pPr>
        <w:pStyle w:val="TableCaption"/>
      </w:pPr>
      <w:r>
        <w:t xml:space="preserve">Definitive three-hourly Kp and ap (GFZ) and the recovered hourly</w:t>
      </w:r>
      <w:r>
        <w:t xml:space="preserve"> </w:t>
      </w:r>
      <w:r>
        <w:rPr>
          <w:iCs/>
          <w:i/>
        </w:rPr>
        <w:t xml:space="preserve">UFO</w:t>
      </w:r>
      <w:r>
        <w:t xml:space="preserve"> </w:t>
      </w:r>
      <w:r>
        <w:t xml:space="preserve">search index around the search maximum. The index is normalised to 100 at the maximum of the seven-day window.</w:t>
      </w:r>
    </w:p>
    <w:tbl>
      <w:tblPr>
        <w:tblStyle w:val="Table"/>
        <w:tblW w:type="pct" w:w="5000"/>
        <w:tblLook w:firstRow="1" w:lastRow="0" w:firstColumn="0" w:lastColumn="0" w:noHBand="0" w:noVBand="0" w:val="0020"/>
        <w:jc w:val="start"/>
        <w:tblCaption w:val="Definitive three-hourly Kp and ap (GFZ) and the recovered hourly UFO search index around the search maximum. The index is normalised to 100 at the maximum of the seven-day window."/>
      </w:tblPr>
      <w:tblGrid>
        <w:gridCol w:w="1320"/>
        <w:gridCol w:w="1320"/>
        <w:gridCol w:w="1320"/>
        <w:gridCol w:w="1320"/>
        <w:gridCol w:w="1320"/>
        <w:gridCol w:w="1320"/>
      </w:tblGrid>
      <w:tr>
        <w:trPr>
          <w:tblHeader w:val="true"/>
        </w:trPr>
        <w:tc>
          <w:tcPr/>
          <w:p>
            <w:pPr>
              <w:pStyle w:val="Compact"/>
              <w:jc w:val="left"/>
            </w:pPr>
            <w:r>
              <w:t xml:space="preserve">Interval (UT)</w:t>
            </w:r>
          </w:p>
        </w:tc>
        <w:tc>
          <w:tcPr/>
          <w:p>
            <w:pPr>
              <w:pStyle w:val="Compact"/>
              <w:jc w:val="left"/>
            </w:pPr>
            <w:r>
              <w:t xml:space="preserve">Observer time (UTC+3)</w:t>
            </w:r>
          </w:p>
        </w:tc>
        <w:tc>
          <w:tcPr/>
          <w:p>
            <w:pPr>
              <w:pStyle w:val="Compact"/>
              <w:jc w:val="left"/>
            </w:pPr>
            <m:oMath>
              <m:sSub>
                <m:e>
                  <m:r>
                    <m:t>K</m:t>
                  </m:r>
                </m:e>
                <m:sub>
                  <m:r>
                    <m:t>p</m:t>
                  </m:r>
                </m:sub>
              </m:sSub>
            </m:oMath>
          </w:p>
        </w:tc>
        <w:tc>
          <w:tcPr/>
          <w:p>
            <w:pPr>
              <w:pStyle w:val="Compact"/>
              <w:jc w:val="right"/>
            </w:pPr>
            <m:oMath>
              <m:sSub>
                <m:e>
                  <m:r>
                    <m:t>a</m:t>
                  </m:r>
                </m:e>
                <m:sub>
                  <m:r>
                    <m:t>p</m:t>
                  </m:r>
                </m:sub>
              </m:sSub>
            </m:oMath>
            <w:r>
              <w:t xml:space="preserve"> </w:t>
            </w:r>
            <w:r>
              <w:t xml:space="preserve">(nT)</w:t>
            </w:r>
          </w:p>
        </w:tc>
        <w:tc>
          <w:tcPr/>
          <w:p>
            <w:pPr>
              <w:pStyle w:val="Compact"/>
              <w:jc w:val="right"/>
            </w:pPr>
            <w:r>
              <w:t xml:space="preserve">Search index, 3-h mean</w:t>
            </w:r>
          </w:p>
        </w:tc>
        <w:tc>
          <w:tcPr/>
          <w:p>
            <w:pPr>
              <w:pStyle w:val="Compact"/>
              <w:jc w:val="left"/>
            </w:pPr>
            <w:r>
              <w:t xml:space="preserve">Hourly values</w:t>
            </w:r>
          </w:p>
        </w:tc>
      </w:tr>
      <w:tr>
        <w:tc>
          <w:tcPr/>
          <w:p>
            <w:pPr>
              <w:pStyle w:val="Compact"/>
              <w:jc w:val="left"/>
            </w:pPr>
            <w:r>
              <w:t xml:space="preserve">30 Oct 18:00–21:00</w:t>
            </w:r>
          </w:p>
        </w:tc>
        <w:tc>
          <w:tcPr/>
          <w:p>
            <w:pPr>
              <w:pStyle w:val="Compact"/>
              <w:jc w:val="left"/>
            </w:pPr>
            <w:r>
              <w:t xml:space="preserve">30 Oct 21:00–24:00</w:t>
            </w:r>
          </w:p>
        </w:tc>
        <w:tc>
          <w:tcPr/>
          <w:p>
            <w:pPr>
              <w:pStyle w:val="Compact"/>
              <w:jc w:val="left"/>
            </w:pPr>
            <w:r>
              <w:t xml:space="preserve">2−</w:t>
            </w:r>
          </w:p>
        </w:tc>
        <w:tc>
          <w:tcPr/>
          <w:p>
            <w:pPr>
              <w:pStyle w:val="Compact"/>
              <w:jc w:val="right"/>
            </w:pPr>
            <w:r>
              <w:t xml:space="preserve">6</w:t>
            </w:r>
          </w:p>
        </w:tc>
        <w:tc>
          <w:tcPr/>
          <w:p>
            <w:pPr>
              <w:pStyle w:val="Compact"/>
              <w:jc w:val="right"/>
            </w:pPr>
            <w:r>
              <w:t xml:space="preserve">70.3</w:t>
            </w:r>
          </w:p>
        </w:tc>
        <w:tc>
          <w:tcPr/>
          <w:p>
            <w:pPr>
              <w:pStyle w:val="Compact"/>
              <w:jc w:val="left"/>
            </w:pPr>
            <w:r>
              <w:t xml:space="preserve">62, 70, 79</w:t>
            </w:r>
          </w:p>
        </w:tc>
      </w:tr>
      <w:tr>
        <w:tc>
          <w:tcPr/>
          <w:p>
            <w:pPr>
              <w:pStyle w:val="Compact"/>
              <w:jc w:val="left"/>
            </w:pPr>
            <w:r>
              <w:t xml:space="preserve">30 Oct 21:00–24:00</w:t>
            </w:r>
          </w:p>
        </w:tc>
        <w:tc>
          <w:tcPr/>
          <w:p>
            <w:pPr>
              <w:pStyle w:val="Compact"/>
              <w:jc w:val="left"/>
            </w:pPr>
            <w:r>
              <w:t xml:space="preserve">31 Oct 00:00–03:00</w:t>
            </w:r>
          </w:p>
        </w:tc>
        <w:tc>
          <w:tcPr/>
          <w:p>
            <w:pPr>
              <w:pStyle w:val="Compact"/>
              <w:jc w:val="left"/>
            </w:pPr>
            <w:r>
              <w:t xml:space="preserve">4−</w:t>
            </w:r>
          </w:p>
        </w:tc>
        <w:tc>
          <w:tcPr/>
          <w:p>
            <w:pPr>
              <w:pStyle w:val="Compact"/>
              <w:jc w:val="right"/>
            </w:pPr>
            <w:r>
              <w:t xml:space="preserve">22</w:t>
            </w:r>
          </w:p>
        </w:tc>
        <w:tc>
          <w:tcPr/>
          <w:p>
            <w:pPr>
              <w:pStyle w:val="Compact"/>
              <w:jc w:val="right"/>
            </w:pPr>
            <w:r>
              <w:t xml:space="preserve">87.8</w:t>
            </w:r>
          </w:p>
        </w:tc>
        <w:tc>
          <w:tcPr/>
          <w:p>
            <w:pPr>
              <w:pStyle w:val="Compact"/>
              <w:jc w:val="left"/>
            </w:pPr>
            <w:r>
              <w:t xml:space="preserve">84, 88, 92</w:t>
            </w:r>
          </w:p>
        </w:tc>
      </w:tr>
      <w:tr>
        <w:tc>
          <w:tcPr/>
          <w:p>
            <w:pPr>
              <w:pStyle w:val="Compact"/>
              <w:jc w:val="left"/>
            </w:pPr>
            <w:r>
              <w:t xml:space="preserve">31 Oct 00:00–03:00</w:t>
            </w:r>
          </w:p>
        </w:tc>
        <w:tc>
          <w:tcPr/>
          <w:p>
            <w:pPr>
              <w:pStyle w:val="Compact"/>
              <w:jc w:val="left"/>
            </w:pPr>
            <w:r>
              <w:t xml:space="preserve">31 Oct 03:00–06:00</w:t>
            </w:r>
          </w:p>
        </w:tc>
        <w:tc>
          <w:tcPr/>
          <w:p>
            <w:pPr>
              <w:pStyle w:val="Compact"/>
              <w:jc w:val="left"/>
            </w:pPr>
            <w:r>
              <w:t xml:space="preserve">2+</w:t>
            </w:r>
          </w:p>
        </w:tc>
        <w:tc>
          <w:tcPr/>
          <w:p>
            <w:pPr>
              <w:pStyle w:val="Compact"/>
              <w:jc w:val="right"/>
            </w:pPr>
            <w:r>
              <w:t xml:space="preserve">9</w:t>
            </w:r>
          </w:p>
        </w:tc>
        <w:tc>
          <w:tcPr/>
          <w:p>
            <w:pPr>
              <w:pStyle w:val="Compact"/>
              <w:jc w:val="right"/>
            </w:pPr>
            <w:r>
              <w:t xml:space="preserve">90.1</w:t>
            </w:r>
          </w:p>
        </w:tc>
        <w:tc>
          <w:tcPr/>
          <w:p>
            <w:pPr>
              <w:pStyle w:val="Compact"/>
              <w:jc w:val="left"/>
            </w:pPr>
            <w:r>
              <w:t xml:space="preserve">90, 87, 93</w:t>
            </w:r>
          </w:p>
        </w:tc>
      </w:tr>
      <w:tr>
        <w:tc>
          <w:tcPr/>
          <w:p>
            <w:pPr>
              <w:pStyle w:val="Compact"/>
              <w:jc w:val="left"/>
            </w:pPr>
            <w:r>
              <w:t xml:space="preserve">31 Oct 03:00–06:00</w:t>
            </w:r>
          </w:p>
        </w:tc>
        <w:tc>
          <w:tcPr/>
          <w:p>
            <w:pPr>
              <w:pStyle w:val="Compact"/>
              <w:jc w:val="left"/>
            </w:pPr>
            <w:r>
              <w:t xml:space="preserve">31 Oct 06:00–09:00</w:t>
            </w:r>
          </w:p>
        </w:tc>
        <w:tc>
          <w:tcPr/>
          <w:p>
            <w:pPr>
              <w:pStyle w:val="Compact"/>
              <w:jc w:val="left"/>
            </w:pPr>
            <w:r>
              <w:t xml:space="preserve">2+</w:t>
            </w:r>
          </w:p>
        </w:tc>
        <w:tc>
          <w:tcPr/>
          <w:p>
            <w:pPr>
              <w:pStyle w:val="Compact"/>
              <w:jc w:val="right"/>
            </w:pPr>
            <w:r>
              <w:t xml:space="preserve">9</w:t>
            </w:r>
          </w:p>
        </w:tc>
        <w:tc>
          <w:tcPr/>
          <w:p>
            <w:pPr>
              <w:pStyle w:val="Compact"/>
              <w:jc w:val="right"/>
            </w:pPr>
            <w:r>
              <w:t xml:space="preserve">95.1</w:t>
            </w:r>
          </w:p>
        </w:tc>
        <w:tc>
          <w:tcPr/>
          <w:p>
            <w:pPr>
              <w:pStyle w:val="Compact"/>
              <w:jc w:val="left"/>
            </w:pPr>
            <w:r>
              <w:rPr>
                <w:bCs/>
                <w:b/>
              </w:rPr>
              <w:t xml:space="preserve">100</w:t>
            </w:r>
            <w:r>
              <w:t xml:space="preserve">, 97, 88</w:t>
            </w:r>
          </w:p>
        </w:tc>
      </w:tr>
      <w:tr>
        <w:tc>
          <w:tcPr/>
          <w:p>
            <w:pPr>
              <w:pStyle w:val="Compact"/>
              <w:jc w:val="left"/>
            </w:pPr>
            <w:r>
              <w:t xml:space="preserve">31 Oct 06:00–09:00</w:t>
            </w:r>
          </w:p>
        </w:tc>
        <w:tc>
          <w:tcPr/>
          <w:p>
            <w:pPr>
              <w:pStyle w:val="Compact"/>
              <w:jc w:val="left"/>
            </w:pPr>
            <w:r>
              <w:t xml:space="preserve">31 Oct 09:00–12:00</w:t>
            </w:r>
          </w:p>
        </w:tc>
        <w:tc>
          <w:tcPr/>
          <w:p>
            <w:pPr>
              <w:pStyle w:val="Compact"/>
              <w:jc w:val="left"/>
            </w:pPr>
            <w:r>
              <w:t xml:space="preserve">0+</w:t>
            </w:r>
          </w:p>
        </w:tc>
        <w:tc>
          <w:tcPr/>
          <w:p>
            <w:pPr>
              <w:pStyle w:val="Compact"/>
              <w:jc w:val="right"/>
            </w:pPr>
            <w:r>
              <w:t xml:space="preserve">2</w:t>
            </w:r>
          </w:p>
        </w:tc>
        <w:tc>
          <w:tcPr/>
          <w:p>
            <w:pPr>
              <w:pStyle w:val="Compact"/>
              <w:jc w:val="right"/>
            </w:pPr>
            <w:r>
              <w:t xml:space="preserve">81.0</w:t>
            </w:r>
          </w:p>
        </w:tc>
        <w:tc>
          <w:tcPr/>
          <w:p>
            <w:pPr>
              <w:pStyle w:val="Compact"/>
              <w:jc w:val="left"/>
            </w:pPr>
            <w:r>
              <w:t xml:space="preserve">82, 80, 81</w:t>
            </w:r>
          </w:p>
        </w:tc>
      </w:tr>
      <w:tr>
        <w:tc>
          <w:tcPr/>
          <w:p>
            <w:pPr>
              <w:pStyle w:val="Compact"/>
              <w:jc w:val="left"/>
            </w:pPr>
            <w:r>
              <w:t xml:space="preserve">31 Oct 09:00–12:00</w:t>
            </w:r>
          </w:p>
        </w:tc>
        <w:tc>
          <w:tcPr/>
          <w:p>
            <w:pPr>
              <w:pStyle w:val="Compact"/>
              <w:jc w:val="left"/>
            </w:pPr>
            <w:r>
              <w:t xml:space="preserve">31 Oct 12:00–15:00</w:t>
            </w:r>
          </w:p>
        </w:tc>
        <w:tc>
          <w:tcPr/>
          <w:p>
            <w:pPr>
              <w:pStyle w:val="Compact"/>
              <w:jc w:val="left"/>
            </w:pPr>
            <w:r>
              <w:t xml:space="preserve">3o</w:t>
            </w:r>
          </w:p>
        </w:tc>
        <w:tc>
          <w:tcPr/>
          <w:p>
            <w:pPr>
              <w:pStyle w:val="Compact"/>
              <w:jc w:val="right"/>
            </w:pPr>
            <w:r>
              <w:t xml:space="preserve">15</w:t>
            </w:r>
          </w:p>
        </w:tc>
        <w:tc>
          <w:tcPr/>
          <w:p>
            <w:pPr>
              <w:pStyle w:val="Compact"/>
              <w:jc w:val="right"/>
            </w:pPr>
            <w:r>
              <w:t xml:space="preserve">89.7</w:t>
            </w:r>
          </w:p>
        </w:tc>
        <w:tc>
          <w:tcPr/>
          <w:p>
            <w:pPr>
              <w:pStyle w:val="Compact"/>
              <w:jc w:val="left"/>
            </w:pPr>
            <w:r>
              <w:t xml:space="preserve">86, 92, 91</w:t>
            </w:r>
          </w:p>
        </w:tc>
      </w:tr>
      <w:tr>
        <w:tc>
          <w:tcPr/>
          <w:p>
            <w:pPr>
              <w:pStyle w:val="Compact"/>
              <w:jc w:val="left"/>
            </w:pPr>
            <w:r>
              <w:t xml:space="preserve">31 Oct 12:00–15:00</w:t>
            </w:r>
          </w:p>
        </w:tc>
        <w:tc>
          <w:tcPr/>
          <w:p>
            <w:pPr>
              <w:pStyle w:val="Compact"/>
              <w:jc w:val="left"/>
            </w:pPr>
            <w:r>
              <w:t xml:space="preserve">31 Oct 15:00–18:00</w:t>
            </w:r>
          </w:p>
        </w:tc>
        <w:tc>
          <w:tcPr/>
          <w:p>
            <w:pPr>
              <w:pStyle w:val="Compact"/>
              <w:jc w:val="left"/>
            </w:pPr>
            <w:r>
              <w:t xml:space="preserve">4o</w:t>
            </w:r>
          </w:p>
        </w:tc>
        <w:tc>
          <w:tcPr/>
          <w:p>
            <w:pPr>
              <w:pStyle w:val="Compact"/>
              <w:jc w:val="right"/>
            </w:pPr>
            <w:r>
              <w:t xml:space="preserve">27</w:t>
            </w:r>
          </w:p>
        </w:tc>
        <w:tc>
          <w:tcPr/>
          <w:p>
            <w:pPr>
              <w:pStyle w:val="Compact"/>
              <w:jc w:val="right"/>
            </w:pPr>
            <w:r>
              <w:t xml:space="preserve">83.1</w:t>
            </w:r>
          </w:p>
        </w:tc>
        <w:tc>
          <w:tcPr/>
          <w:p>
            <w:pPr>
              <w:pStyle w:val="Compact"/>
              <w:jc w:val="left"/>
            </w:pPr>
            <w:r>
              <w:t xml:space="preserve">83 (end of window)</w:t>
            </w:r>
          </w:p>
        </w:tc>
      </w:tr>
    </w:tbl>
    <w:p>
      <w:pPr>
        <w:pStyle w:val="BodyText"/>
      </w:pPr>
      <w:r>
        <w:rPr>
          <w:iCs/>
          <w:i/>
        </w:rPr>
        <w:t xml:space="preserve">The search maximum.</w:t>
      </w:r>
      <w:r>
        <w:t xml:space="preserve"> </w:t>
      </w:r>
      <w:r>
        <w:t xml:space="preserve">The worldwide hourly index attains its window maximum, 100 by construction, at 03:00 UT on 31 October, which is 06:00 at the observer’s console. Against the same hour of the six other days of the window (mean 76.3, SD 6.3) the value is 3.7 standard deviations high. The daily mean of the index was 67–73 on each of 24–30 October and 88.4 on the 31st. The maximum falls 4.5 h after the centre of the</w:t>
      </w:r>
      <w:r>
        <w:t xml:space="preserve"> </w:t>
      </w:r>
      <m:oMath>
        <m:sSub>
          <m:e>
            <m:r>
              <m:t>K</m:t>
            </m:r>
          </m:e>
          <m:sub>
            <m:r>
              <m:t>p</m:t>
            </m:r>
          </m:sub>
        </m:sSub>
        <m:r>
          <m:t> </m:t>
        </m:r>
        <m:r>
          <m:t>4</m:t>
        </m:r>
        <m:r>
          <m:rPr>
            <m:sty m:val="p"/>
          </m:rPr>
          <m:t>−</m:t>
        </m:r>
      </m:oMath>
      <w:r>
        <w:t xml:space="preserve"> </w:t>
      </w:r>
      <w:r>
        <w:t xml:space="preserve">interval of 21:00–24:00 UT on 30 October, which was the most disturbed interval of the week up to that point, and 10.5 h before the centre of the first</w:t>
      </w:r>
      <w:r>
        <w:t xml:space="preserve"> </w:t>
      </w:r>
      <m:oMath>
        <m:sSub>
          <m:e>
            <m:r>
              <m:t>K</m:t>
            </m:r>
          </m:e>
          <m:sub>
            <m:r>
              <m:t>p</m:t>
            </m:r>
          </m:sub>
        </m:sSub>
        <m:r>
          <m:t> </m:t>
        </m:r>
        <m:r>
          <m:t>4</m:t>
        </m:r>
        <m:r>
          <m:t>o</m:t>
        </m:r>
      </m:oMath>
      <w:r>
        <w:t xml:space="preserve"> </w:t>
      </w:r>
      <w:r>
        <w:t xml:space="preserve">interval (12:00–15:00 UT), which was the most disturbed of the whole week. The interval in which the maximum itself falls is</w:t>
      </w:r>
      <w:r>
        <w:t xml:space="preserve"> </w:t>
      </w:r>
      <m:oMath>
        <m:sSub>
          <m:e>
            <m:r>
              <m:t>K</m:t>
            </m:r>
          </m:e>
          <m:sub>
            <m:r>
              <m:t>p</m:t>
            </m:r>
          </m:sub>
        </m:sSub>
        <m:r>
          <m:t> </m:t>
        </m:r>
        <m:r>
          <m:t>2</m:t>
        </m:r>
        <m:r>
          <m:rPr>
            <m:sty m:val="p"/>
          </m:rPr>
          <m:t>+</m:t>
        </m:r>
      </m:oMath>
      <w:r>
        <w:t xml:space="preserve">. The search maximum is bracketed by the two geomagnetic maxima of the week and sits closer to the earlier one by a factor of two. At the three-hour resolution of the geomagnetic series the alignment with the earlier maximum is exact to within one and a half samples, which is to say exact to within the Nyquist limit of the slower series.</w:t>
      </w:r>
    </w:p>
    <w:p>
      <w:pPr>
        <w:pStyle w:val="BodyText"/>
      </w:pPr>
      <w:r>
        <w:rPr>
          <w:iCs/>
          <w:i/>
        </w:rPr>
        <w:t xml:space="preserve">Cross-correlation.</w:t>
      </w:r>
      <w:r>
        <w:t xml:space="preserve"> </w:t>
      </w:r>
      <w:r>
        <w:t xml:space="preserve">With</w:t>
      </w:r>
      <w:r>
        <w:t xml:space="preserve"> </w:t>
      </w:r>
      <m:oMath>
        <m:sSub>
          <m:e>
            <m:r>
              <m:t>a</m:t>
            </m:r>
          </m:e>
          <m:sub>
            <m:r>
              <m:t>p</m:t>
            </m:r>
          </m:sub>
        </m:sSub>
      </m:oMath>
      <w:r>
        <w:t xml:space="preserve"> </w:t>
      </w:r>
      <w:r>
        <w:t xml:space="preserve">on a logarithmic scale (</w:t>
      </w:r>
      <m:oMath>
        <m:r>
          <m:rPr>
            <m:sty m:val="p"/>
          </m:rPr>
          <m:t>log</m:t>
        </m:r>
        <m:d>
          <m:dPr>
            <m:begChr m:val="("/>
            <m:endChr m:val=")"/>
            <m:sepChr m:val=""/>
            <m:grow/>
          </m:dPr>
          <m:e>
            <m:r>
              <m:t>1</m:t>
            </m:r>
            <m:r>
              <m:rPr>
                <m:sty m:val="p"/>
              </m:rPr>
              <m:t>+</m:t>
            </m:r>
            <m:sSub>
              <m:e>
                <m:r>
                  <m:t>a</m:t>
                </m:r>
              </m:e>
              <m:sub>
                <m:r>
                  <m:t>p</m:t>
                </m:r>
              </m:sub>
            </m:sSub>
          </m:e>
        </m:d>
      </m:oMath>
      <w:r>
        <w:t xml:space="preserve">) and the search index averaged to the same three-hour bins (53 overlapping bins, 25 October 00:00 UT to 31 October 12:00 UT), the cross-correlation is</w:t>
      </w:r>
      <w:r>
        <w:t xml:space="preserve"> </w:t>
      </w:r>
      <m:oMath>
        <m:r>
          <m:rPr>
            <m:sty m:val="p"/>
          </m:rPr>
          <m:t>+</m:t>
        </m:r>
        <m:r>
          <m:t>0.32</m:t>
        </m:r>
      </m:oMath>
      <w:r>
        <w:t xml:space="preserve"> </w:t>
      </w:r>
      <w:r>
        <w:t xml:space="preserve">at lag 0,</w:t>
      </w:r>
      <w:r>
        <w:t xml:space="preserve"> </w:t>
      </w:r>
      <m:oMath>
        <m:r>
          <m:rPr>
            <m:sty m:val="p"/>
          </m:rPr>
          <m:t>+</m:t>
        </m:r>
        <m:r>
          <m:t>0.37</m:t>
        </m:r>
      </m:oMath>
      <w:r>
        <w:t xml:space="preserve"> </w:t>
      </w:r>
      <w:r>
        <w:t xml:space="preserve">at lag</w:t>
      </w:r>
      <w:r>
        <w:t xml:space="preserve"> </w:t>
      </w:r>
      <m:oMath>
        <m:r>
          <m:rPr>
            <m:sty m:val="p"/>
          </m:rPr>
          <m:t>+</m:t>
        </m:r>
        <m:r>
          <m:t>1</m:t>
        </m:r>
      </m:oMath>
      <w:r>
        <w:t xml:space="preserve"> </w:t>
      </w:r>
      <w:r>
        <w:t xml:space="preserve">bin and</w:t>
      </w:r>
      <w:r>
        <w:t xml:space="preserve"> </w:t>
      </w:r>
      <m:oMath>
        <m:r>
          <m:rPr>
            <m:sty m:val="p"/>
          </m:rPr>
          <m:t>+</m:t>
        </m:r>
        <m:r>
          <m:t>0.25</m:t>
        </m:r>
      </m:oMath>
      <w:r>
        <w:t xml:space="preserve"> </w:t>
      </w:r>
      <w:r>
        <w:t xml:space="preserve">at lag</w:t>
      </w:r>
      <w:r>
        <w:t xml:space="preserve"> </w:t>
      </w:r>
      <m:oMath>
        <m:r>
          <m:rPr>
            <m:sty m:val="p"/>
          </m:rPr>
          <m:t>+</m:t>
        </m:r>
        <m:r>
          <m:t>2</m:t>
        </m:r>
      </m:oMath>
      <w:r>
        <w:t xml:space="preserve">, where positive lag means the search index lags the field; the</w:t>
      </w:r>
      <w:r>
        <w:t xml:space="preserve"> </w:t>
      </w:r>
      <m:oMath>
        <m:r>
          <m:rPr>
            <m:sty m:val="p"/>
          </m:rPr>
          <m:t>±</m:t>
        </m:r>
        <m:r>
          <m:t>1.96</m:t>
        </m:r>
        <m:r>
          <m:rPr>
            <m:sty m:val="p"/>
          </m:rPr>
          <m:t>/</m:t>
        </m:r>
        <m:rad>
          <m:radPr>
            <m:degHide m:val="on"/>
          </m:radPr>
          <m:deg/>
          <m:e>
            <m:r>
              <m:t>n</m:t>
            </m:r>
          </m:e>
        </m:rad>
      </m:oMath>
      <w:r>
        <w:t xml:space="preserve"> </w:t>
      </w:r>
      <w:r>
        <w:t xml:space="preserve">noise level is 0.27 (Figure 9). On hourly data, with</w:t>
      </w:r>
      <w:r>
        <w:t xml:space="preserve"> </w:t>
      </w:r>
      <m:oMath>
        <m:sSub>
          <m:e>
            <m:r>
              <m:t>a</m:t>
            </m:r>
          </m:e>
          <m:sub>
            <m:r>
              <m:t>p</m:t>
            </m:r>
          </m:sub>
        </m:sSub>
      </m:oMath>
      <w:r>
        <w:t xml:space="preserve"> </w:t>
      </w:r>
      <w:r>
        <w:t xml:space="preserve">held constant within its bin (157 overlapping hours), the maximum is</w:t>
      </w:r>
      <w:r>
        <w:t xml:space="preserve"> </w:t>
      </w:r>
      <m:oMath>
        <m:r>
          <m:rPr>
            <m:sty m:val="p"/>
          </m:rPr>
          <m:t>+</m:t>
        </m:r>
        <m:r>
          <m:t>0.35</m:t>
        </m:r>
      </m:oMath>
      <w:r>
        <w:t xml:space="preserve"> </w:t>
      </w:r>
      <w:r>
        <w:t xml:space="preserve">at lag</w:t>
      </w:r>
      <w:r>
        <w:t xml:space="preserve"> </w:t>
      </w:r>
      <m:oMath>
        <m:r>
          <m:rPr>
            <m:sty m:val="p"/>
          </m:rPr>
          <m:t>+</m:t>
        </m:r>
        <m:r>
          <m:t>2</m:t>
        </m:r>
      </m:oMath>
      <w:r>
        <w:t xml:space="preserve"> </w:t>
      </w:r>
      <w:r>
        <w:t xml:space="preserve">h against a noise level of 0.16. The search index follows the field by two to three hours within the week.</w:t>
      </w:r>
    </w:p>
    <w:p>
      <w:pPr>
        <w:pStyle w:val="BodyText"/>
      </w:pPr>
      <w:r>
        <w:rPr>
          <w:iCs/>
          <w:i/>
        </w:rPr>
        <w:t xml:space="preserve">Vector autoregression.</w:t>
      </w:r>
      <w:r>
        <w:t xml:space="preserve"> </w:t>
      </w:r>
      <w:r>
        <w:t xml:space="preserve">Let</w:t>
      </w:r>
      <w:r>
        <w:t xml:space="preserve"> </w:t>
      </w:r>
      <m:oMath>
        <m:sSub>
          <m:e>
            <m:r>
              <m:t>x</m:t>
            </m:r>
          </m:e>
          <m:sub>
            <m:r>
              <m:t>t</m:t>
            </m:r>
          </m:sub>
        </m:sSub>
        <m:r>
          <m:rPr>
            <m:sty m:val="p"/>
          </m:rPr>
          <m:t>=</m:t>
        </m:r>
        <m:d>
          <m:dPr>
            <m:begChr m:val="("/>
            <m:endChr m:val=")"/>
            <m:sepChr m:val=""/>
            <m:grow/>
          </m:dPr>
          <m:e>
            <m:r>
              <m:rPr>
                <m:sty m:val="p"/>
              </m:rPr>
              <m:t>log</m:t>
            </m:r>
            <m:d>
              <m:dPr>
                <m:begChr m:val="("/>
                <m:endChr m:val=")"/>
                <m:sepChr m:val=""/>
                <m:grow/>
              </m:dPr>
              <m:e>
                <m:r>
                  <m:t>1</m:t>
                </m:r>
                <m:r>
                  <m:rPr>
                    <m:sty m:val="p"/>
                  </m:rPr>
                  <m:t>+</m:t>
                </m:r>
                <m:sSub>
                  <m:e>
                    <m:r>
                      <m:t>a</m:t>
                    </m:r>
                  </m:e>
                  <m:sub>
                    <m:r>
                      <m:t>p</m:t>
                    </m:r>
                    <m:r>
                      <m:rPr>
                        <m:sty m:val="p"/>
                      </m:rPr>
                      <m:t>,</m:t>
                    </m:r>
                    <m:r>
                      <m:t>t</m:t>
                    </m:r>
                  </m:sub>
                </m:sSub>
              </m:e>
            </m:d>
            <m:r>
              <m:rPr>
                <m:sty m:val="p"/>
              </m:rPr>
              <m:t>,</m:t>
            </m:r>
            <m:r>
              <m:t> </m:t>
            </m:r>
            <m:sSub>
              <m:e>
                <m:r>
                  <m:t>U</m:t>
                </m:r>
              </m:e>
              <m:sub>
                <m:r>
                  <m:t>t</m:t>
                </m:r>
              </m:sub>
            </m:sSub>
          </m:e>
        </m:d>
        <m:r>
          <m:rPr>
            <m:sty m:val="p"/>
          </m:rPr>
          <m:t>′</m:t>
        </m:r>
      </m:oMath>
      <w:r>
        <w:t xml:space="preserve"> </w:t>
      </w:r>
      <w:r>
        <w:t xml:space="preserve">on the three-hour bins and</w:t>
      </w:r>
    </w:p>
    <w:p>
      <w:pPr>
        <w:pStyle w:val="BodyText"/>
      </w:pPr>
      <m:oMathPara>
        <m:oMathParaPr>
          <m:jc m:val="center"/>
        </m:oMathParaPr>
        <m:oMath>
          <m:sSub>
            <m:e>
              <m:r>
                <m:t>x</m:t>
              </m:r>
            </m:e>
            <m:sub>
              <m:r>
                <m:t>t</m:t>
              </m:r>
            </m:sub>
          </m:sSub>
          <m:r>
            <m:rPr>
              <m:sty m:val="p"/>
            </m:rPr>
            <m:t>=</m:t>
          </m:r>
          <m:r>
            <m:t>c</m:t>
          </m:r>
          <m:r>
            <m:rPr>
              <m:sty m:val="p"/>
            </m:rPr>
            <m:t>+</m:t>
          </m:r>
          <m:nary>
            <m:naryPr>
              <m:chr m:val="∑"/>
              <m:limLoc m:val="undOvr"/>
              <m:subHide m:val="off"/>
              <m:supHide m:val="off"/>
            </m:naryPr>
            <m:sub>
              <m:r>
                <m:t>j</m:t>
              </m:r>
              <m:r>
                <m:rPr>
                  <m:sty m:val="p"/>
                </m:rPr>
                <m:t>=</m:t>
              </m:r>
              <m:r>
                <m:t>1</m:t>
              </m:r>
            </m:sub>
            <m:sup>
              <m:r>
                <m:t>p</m:t>
              </m:r>
            </m:sup>
            <m:e>
              <m:sSub>
                <m:e>
                  <m:r>
                    <m:t>Φ</m:t>
                  </m:r>
                </m:e>
                <m:sub>
                  <m:r>
                    <m:t>j</m:t>
                  </m:r>
                </m:sub>
              </m:sSub>
            </m:e>
          </m:nary>
          <m:sSub>
            <m:e>
              <m:r>
                <m:t>x</m:t>
              </m:r>
            </m:e>
            <m:sub>
              <m:r>
                <m:t>t</m:t>
              </m:r>
              <m:r>
                <m:rPr>
                  <m:sty m:val="p"/>
                </m:rPr>
                <m:t>−</m:t>
              </m:r>
              <m:r>
                <m:t>j</m:t>
              </m:r>
            </m:sub>
          </m:sSub>
          <m:r>
            <m:rPr>
              <m:sty m:val="p"/>
            </m:rPr>
            <m:t>+</m:t>
          </m:r>
          <m:sSub>
            <m:e>
              <m:r>
                <m:t>ε</m:t>
              </m:r>
            </m:e>
            <m:sub>
              <m:r>
                <m:t>t</m:t>
              </m:r>
            </m:sub>
          </m:sSub>
          <m:r>
            <m:rPr>
              <m:sty m:val="p"/>
            </m:rPr>
            <m:t>,</m:t>
          </m:r>
          <m:r>
            <m:t>  </m:t>
          </m:r>
          <m:sSub>
            <m:e>
              <m:r>
                <m:t>ε</m:t>
              </m:r>
            </m:e>
            <m:sub>
              <m:r>
                <m:t>t</m:t>
              </m:r>
            </m:sub>
          </m:sSub>
          <m:r>
            <m:rPr>
              <m:sty m:val="p"/>
            </m:rPr>
            <m:t>∼</m:t>
          </m:r>
          <m:d>
            <m:dPr>
              <m:begChr m:val="("/>
              <m:endChr m:val=")"/>
              <m:sepChr m:val=""/>
              <m:grow/>
            </m:dPr>
            <m:e>
              <m:r>
                <m:t>0</m:t>
              </m:r>
              <m:r>
                <m:rPr>
                  <m:sty m:val="p"/>
                </m:rPr>
                <m:t>,</m:t>
              </m:r>
              <m:r>
                <m:t>Σ</m:t>
              </m:r>
            </m:e>
          </m:d>
          <m:r>
            <m:rPr>
              <m:sty m:val="p"/>
            </m:rPr>
            <m:t>.</m:t>
          </m:r>
        </m:oMath>
      </m:oMathPara>
    </w:p>
    <w:p>
      <w:pPr>
        <w:pStyle w:val="FirstParagraph"/>
      </w:pPr>
      <w:r>
        <w:t xml:space="preserve">The Bayesian information criterion selects</w:t>
      </w:r>
      <w:r>
        <w:t xml:space="preserve"> </w:t>
      </w:r>
      <m:oMath>
        <m:r>
          <m:t>p</m:t>
        </m:r>
        <m:r>
          <m:rPr>
            <m:sty m:val="p"/>
          </m:rPr>
          <m:t>=</m:t>
        </m:r>
        <m:r>
          <m:t>1</m:t>
        </m:r>
      </m:oMath>
      <w:r>
        <w:t xml:space="preserve"> </w:t>
      </w:r>
      <w:r>
        <w:t xml:space="preserve">(BIC 3.749 against 3.797 at</w:t>
      </w:r>
      <w:r>
        <w:t xml:space="preserve"> </w:t>
      </w:r>
      <m:oMath>
        <m:r>
          <m:t>p</m:t>
        </m:r>
        <m:r>
          <m:rPr>
            <m:sty m:val="p"/>
          </m:rPr>
          <m:t>=</m:t>
        </m:r>
        <m:r>
          <m:t>2</m:t>
        </m:r>
      </m:oMath>
      <w:r>
        <w:t xml:space="preserve"> </w:t>
      </w:r>
      <w:r>
        <w:t xml:space="preserve">and 4.014 at</w:t>
      </w:r>
      <w:r>
        <w:t xml:space="preserve"> </w:t>
      </w:r>
      <m:oMath>
        <m:r>
          <m:t>p</m:t>
        </m:r>
        <m:r>
          <m:rPr>
            <m:sty m:val="p"/>
          </m:rPr>
          <m:t>=</m:t>
        </m:r>
        <m:r>
          <m:t>3</m:t>
        </m:r>
      </m:oMath>
      <w:r>
        <w:t xml:space="preserve">). In the search equation the coefficient on the lagged field is</w:t>
      </w:r>
      <w:r>
        <w:t xml:space="preserve"> </w:t>
      </w:r>
      <m:oMath>
        <m:r>
          <m:t>2.65</m:t>
        </m:r>
      </m:oMath>
      <w:r>
        <w:t xml:space="preserve"> </w:t>
      </w:r>
      <w:r>
        <w:t xml:space="preserve">index points per unit of</w:t>
      </w:r>
      <w:r>
        <w:t xml:space="preserve"> </w:t>
      </w:r>
      <m:oMath>
        <m:r>
          <m:rPr>
            <m:sty m:val="p"/>
          </m:rPr>
          <m:t>log</m:t>
        </m:r>
        <m:d>
          <m:dPr>
            <m:begChr m:val="("/>
            <m:endChr m:val=")"/>
            <m:sepChr m:val=""/>
            <m:grow/>
          </m:dPr>
          <m:e>
            <m:r>
              <m:t>1</m:t>
            </m:r>
            <m:r>
              <m:rPr>
                <m:sty m:val="p"/>
              </m:rPr>
              <m:t>+</m:t>
            </m:r>
            <m:sSub>
              <m:e>
                <m:r>
                  <m:t>a</m:t>
                </m:r>
              </m:e>
              <m:sub>
                <m:r>
                  <m:t>p</m:t>
                </m:r>
              </m:sub>
            </m:sSub>
          </m:e>
        </m:d>
      </m:oMath>
      <w:r>
        <w:t xml:space="preserve"> </w:t>
      </w:r>
      <w:r>
        <w:t xml:space="preserve">(the coefficient on the lagged index is</w:t>
      </w:r>
      <w:r>
        <w:t xml:space="preserve"> </w:t>
      </w:r>
      <m:oMath>
        <m:r>
          <m:t>0.57</m:t>
        </m:r>
      </m:oMath>
      <w:r>
        <w:t xml:space="preserve">); the test that the field does not Granger-cause the index gives</w:t>
      </w:r>
      <w:r>
        <w:t xml:space="preserve"> </w:t>
      </w:r>
      <m:oMath>
        <m:r>
          <m:t>F</m:t>
        </m:r>
        <m:r>
          <m:rPr>
            <m:sty m:val="p"/>
          </m:rPr>
          <m:t>=</m:t>
        </m:r>
        <m:r>
          <m:t>3.61</m:t>
        </m:r>
      </m:oMath>
      <w:r>
        <w:t xml:space="preserve">,</w:t>
      </w:r>
      <w:r>
        <w:t xml:space="preserve"> </w:t>
      </w:r>
      <m:oMath>
        <m:r>
          <m:t>p</m:t>
        </m:r>
        <m:r>
          <m:rPr>
            <m:sty m:val="p"/>
          </m:rPr>
          <m:t>=</m:t>
        </m:r>
        <m:r>
          <m:t>0.060</m:t>
        </m:r>
      </m:oMath>
      <w:r>
        <w:t xml:space="preserve">, the reverse test</w:t>
      </w:r>
      <w:r>
        <w:t xml:space="preserve"> </w:t>
      </w:r>
      <m:oMath>
        <m:r>
          <m:t>F</m:t>
        </m:r>
        <m:r>
          <m:rPr>
            <m:sty m:val="p"/>
          </m:rPr>
          <m:t>=</m:t>
        </m:r>
        <m:r>
          <m:t>1.19</m:t>
        </m:r>
      </m:oMath>
      <w:r>
        <w:t xml:space="preserve">,</w:t>
      </w:r>
      <w:r>
        <w:t xml:space="preserve"> </w:t>
      </w:r>
      <m:oMath>
        <m:r>
          <m:t>p</m:t>
        </m:r>
        <m:r>
          <m:rPr>
            <m:sty m:val="p"/>
          </m:rPr>
          <m:t>=</m:t>
        </m:r>
        <m:r>
          <m:t>0.278</m:t>
        </m:r>
      </m:oMath>
      <w:r>
        <w:t xml:space="preserve">. The response of the index to a unit innovation in the log-field is 0, 2.65, 3.52, 3.45, 2.97, 2.36 and 1.77 index points at horizons 0 to 6 bins, peaking at six hours; the residual correlation is 0.22. On a single week the test is at the edge of the conventional threshold, in the direction H1 requires and not in the reverse direction. The Kuramoto ensemble of Section 2.4, driven by the same bins, crosses</w:t>
      </w:r>
      <w:r>
        <w:t xml:space="preserve"> </w:t>
      </w:r>
      <m:oMath>
        <m:r>
          <m:t>r</m:t>
        </m:r>
        <m:r>
          <m:rPr>
            <m:sty m:val="p"/>
          </m:rPr>
          <m:t>=</m:t>
        </m:r>
        <m:r>
          <m:t>0.5</m:t>
        </m:r>
      </m:oMath>
      <w:r>
        <w:t xml:space="preserve"> </w:t>
      </w:r>
      <w:r>
        <w:t xml:space="preserve">at 23:03 UT on 30 October, four hours before the search maximum, which is the order the matrix of Section 2.5 requires: coupling first, invocation after.</w:t>
      </w:r>
    </w:p>
    <w:p>
      <w:pPr>
        <w:pStyle w:val="CaptionedFigure"/>
      </w:pPr>
      <w:r>
        <w:drawing>
          <wp:inline>
            <wp:extent cx="5334000" cy="2015964"/>
            <wp:effectExtent b="0" l="0" r="0" t="0"/>
            <wp:docPr descr="The source’s provisional ISGI plot of Kp and ap, 25–31 October 2021 (definitive values in Table 4 and Figure 9)." title="" id="56" name="Picture"/>
            <a:graphic>
              <a:graphicData uri="http://schemas.openxmlformats.org/drawingml/2006/picture">
                <pic:pic>
                  <pic:nvPicPr>
                    <pic:cNvPr descr="fig_src_isgi.png" id="57" name="Picture"/>
                    <pic:cNvPicPr>
                      <a:picLocks noChangeArrowheads="1" noChangeAspect="1"/>
                    </pic:cNvPicPr>
                  </pic:nvPicPr>
                  <pic:blipFill>
                    <a:blip r:embed="rId55"/>
                    <a:stretch>
                      <a:fillRect/>
                    </a:stretch>
                  </pic:blipFill>
                  <pic:spPr bwMode="auto">
                    <a:xfrm>
                      <a:off x="0" y="0"/>
                      <a:ext cx="5334000" cy="2015964"/>
                    </a:xfrm>
                    <a:prstGeom prst="rect">
                      <a:avLst/>
                    </a:prstGeom>
                    <a:noFill/>
                    <a:ln w="9525">
                      <a:noFill/>
                      <a:headEnd/>
                      <a:tailEnd/>
                    </a:ln>
                  </pic:spPr>
                </pic:pic>
              </a:graphicData>
            </a:graphic>
          </wp:inline>
        </w:drawing>
      </w:r>
    </w:p>
    <w:p>
      <w:pPr>
        <w:pStyle w:val="ImageCaption"/>
      </w:pPr>
      <w:r>
        <w:t xml:space="preserve">The source’s provisional ISGI plot of Kp and ap, 25–31 October 2021 (definitive values in Table 4 and Figure 9).</w:t>
      </w:r>
    </w:p>
    <w:p>
      <w:pPr>
        <w:pStyle w:val="CaptionedFigure"/>
      </w:pPr>
      <w:r>
        <w:drawing>
          <wp:inline>
            <wp:extent cx="5334000" cy="2874353"/>
            <wp:effectExtent b="0" l="0" r="0" t="0"/>
            <wp:docPr descr="The source’s Google Trends screenshot: worldwide hourly search interest in UFO over the trailing seven days, with the maximum circled and dated by the tooltip to 31 October 2021, 06:00 (observer time, UTC+3)." title="" id="59" name="Picture"/>
            <a:graphic>
              <a:graphicData uri="http://schemas.openxmlformats.org/drawingml/2006/picture">
                <pic:pic>
                  <pic:nvPicPr>
                    <pic:cNvPr descr="fig_src_trends7d.png" id="60" name="Picture"/>
                    <pic:cNvPicPr>
                      <a:picLocks noChangeArrowheads="1" noChangeAspect="1"/>
                    </pic:cNvPicPr>
                  </pic:nvPicPr>
                  <pic:blipFill>
                    <a:blip r:embed="rId58"/>
                    <a:stretch>
                      <a:fillRect/>
                    </a:stretch>
                  </pic:blipFill>
                  <pic:spPr bwMode="auto">
                    <a:xfrm>
                      <a:off x="0" y="0"/>
                      <a:ext cx="5334000" cy="2874353"/>
                    </a:xfrm>
                    <a:prstGeom prst="rect">
                      <a:avLst/>
                    </a:prstGeom>
                    <a:noFill/>
                    <a:ln w="9525">
                      <a:noFill/>
                      <a:headEnd/>
                      <a:tailEnd/>
                    </a:ln>
                  </pic:spPr>
                </pic:pic>
              </a:graphicData>
            </a:graphic>
          </wp:inline>
        </w:drawing>
      </w:r>
    </w:p>
    <w:p>
      <w:pPr>
        <w:pStyle w:val="ImageCaption"/>
      </w:pPr>
      <w:r>
        <w:t xml:space="preserve">The source’s Google Trends screenshot: worldwide hourly search interest in</w:t>
      </w:r>
      <w:r>
        <w:t xml:space="preserve"> </w:t>
      </w:r>
      <w:r>
        <w:rPr>
          <w:iCs/>
          <w:i/>
        </w:rPr>
        <w:t xml:space="preserve">UFO</w:t>
      </w:r>
      <w:r>
        <w:t xml:space="preserve"> </w:t>
      </w:r>
      <w:r>
        <w:t xml:space="preserve">over the trailing seven days, with the maximum circled and dated by the tooltip to 31 October 2021, 06:00 (observer time, UTC+3).</w:t>
      </w:r>
    </w:p>
    <w:p>
      <w:pPr>
        <w:pStyle w:val="CaptionedFigure"/>
      </w:pPr>
      <w:r>
        <w:drawing>
          <wp:inline>
            <wp:extent cx="5334000" cy="4800600"/>
            <wp:effectExtent b="0" l="0" r="0" t="0"/>
            <wp:docPr descr="Event window in Universal Time. Upper panel: definitive three-hourly ap with the Bartels Kp steps of the five most disturbed intervals. Middle panel: the recovered hourly search index; open markers are the hours occluded by the tooltip in the source. Lower panel: cross-correlation by lag on three-hour bins with the ±1.96/√n band." title="" id="62" name="Picture"/>
            <a:graphic>
              <a:graphicData uri="http://schemas.openxmlformats.org/drawingml/2006/picture">
                <pic:pic>
                  <pic:nvPicPr>
                    <pic:cNvPr descr="fig_S3_event.png" id="63" name="Picture"/>
                    <pic:cNvPicPr>
                      <a:picLocks noChangeArrowheads="1" noChangeAspect="1"/>
                    </pic:cNvPicPr>
                  </pic:nvPicPr>
                  <pic:blipFill>
                    <a:blip r:embed="rId61"/>
                    <a:stretch>
                      <a:fillRect/>
                    </a:stretch>
                  </pic:blipFill>
                  <pic:spPr bwMode="auto">
                    <a:xfrm>
                      <a:off x="0" y="0"/>
                      <a:ext cx="5334000" cy="4800600"/>
                    </a:xfrm>
                    <a:prstGeom prst="rect">
                      <a:avLst/>
                    </a:prstGeom>
                    <a:noFill/>
                    <a:ln w="9525">
                      <a:noFill/>
                      <a:headEnd/>
                      <a:tailEnd/>
                    </a:ln>
                  </pic:spPr>
                </pic:pic>
              </a:graphicData>
            </a:graphic>
          </wp:inline>
        </w:drawing>
      </w:r>
    </w:p>
    <w:p>
      <w:pPr>
        <w:pStyle w:val="ImageCaption"/>
      </w:pPr>
      <w:r>
        <w:t xml:space="preserve">Event window in Universal Time. Upper panel: definitive three-hourly ap with the Bartels Kp steps of the five most disturbed intervals. Middle panel: the recovered hourly search index; open markers are the hours occluded by the tooltip in the source. Lower panel: cross-correlation by lag on three-hour bins with the ±1.96/√n band.</w:t>
      </w:r>
    </w:p>
    <w:bookmarkEnd w:id="64"/>
    <w:bookmarkStart w:id="65" w:name="X4ed3d0c63380a4cbeb6791fb0b19b6a203c7909"/>
    <w:p>
      <w:pPr>
        <w:pStyle w:val="Heading2"/>
      </w:pPr>
      <w:r>
        <w:t xml:space="preserve">3.6 High-variance anomalies: Syria and Albania</w:t>
      </w:r>
    </w:p>
    <w:p>
      <w:pPr>
        <w:pStyle w:val="FirstParagraph"/>
      </w:pPr>
      <w:r>
        <w:t xml:space="preserve">In the source’s</w:t>
      </w:r>
      <w:r>
        <w:t xml:space="preserve"> </w:t>
      </w:r>
      <w:r>
        <w:t xml:space="preserve">“</w:t>
      </w:r>
      <w:r>
        <w:t xml:space="preserve">interest by region</w:t>
      </w:r>
      <w:r>
        <w:t xml:space="preserve">”</w:t>
      </w:r>
      <w:r>
        <w:t xml:space="preserve"> </w:t>
      </w:r>
      <w:r>
        <w:t xml:space="preserve">panel for the same window, the two jurisdictions with the highest normalised search propensity for</w:t>
      </w:r>
      <w:r>
        <w:t xml:space="preserve"> </w:t>
      </w:r>
      <w:r>
        <w:rPr>
          <w:iCs/>
          <w:i/>
        </w:rPr>
        <w:t xml:space="preserve">UFO</w:t>
      </w:r>
      <w:r>
        <w:t xml:space="preserve"> </w:t>
      </w:r>
      <w:r>
        <w:t xml:space="preserve">were Syria and Albania, far ahead of the rest. The source connects the second with a rumour corpus of the 1990s concerning the territory’s role as a transshipment hub for human organs and narcotic preparations, the first with contemporaneous reports of analogous flows under conditions of armed conflict, and both with the long-standing interest of the conventional visitor in acquiring human subjects for non-consensual biometric sampling. We report the rumour as rumour and verify none of it.</w:t>
      </w:r>
    </w:p>
    <w:p>
      <w:pPr>
        <w:pStyle w:val="BodyText"/>
      </w:pPr>
      <w:r>
        <w:t xml:space="preserve">The statistical objection is the small-denominator effect: the regional index is a share of all searches in the jurisdiction, so that in a jurisdiction with few searches the share has a variance inversely proportional to the total, and the extreme values of a normalised index across some two hundred jurisdictions are expected to come from the smallest denominators. The objection explains why the variance of the two values is high. It does not explain why the high variance was realised in those two jurisdictions rather than in any two of the hundred or so with comparably small denominators, and the harvest hypothesis, for what it is worth, predicts that search propensity is maximal where affective amplitude is high (conflict, dislocation) and where the logistics of biometric acquisition have a reported precedent. Both conditions obtain in both jurisdictions. We lacked the regional series and could not test the prediction. The anomaly is reported without resolution, which is the condition in which the source left it.</w:t>
      </w:r>
    </w:p>
    <w:bookmarkEnd w:id="65"/>
    <w:bookmarkStart w:id="66" w:name="computational-protocol"/>
    <w:p>
      <w:pPr>
        <w:pStyle w:val="Heading2"/>
      </w:pPr>
      <w:r>
        <w:t xml:space="preserve">3.7 Computational protocol</w:t>
      </w:r>
    </w:p>
    <w:p>
      <w:pPr>
        <w:pStyle w:val="FirstParagraph"/>
      </w:pPr>
      <w:r>
        <w:t xml:space="preserve">Everything reported above is produced by four scripts in the supplementary archive:</w:t>
      </w:r>
      <w:r>
        <w:t xml:space="preserve"> </w:t>
      </w:r>
      <w:r>
        <w:rPr>
          <w:rStyle w:val="VerbatimChar"/>
        </w:rPr>
        <w:t xml:space="preserve">parse_sw.py</w:t>
      </w:r>
      <w:r>
        <w:t xml:space="preserve"> </w:t>
      </w:r>
      <w:r>
        <w:t xml:space="preserve">(definitive series),</w:t>
      </w:r>
      <w:r>
        <w:t xml:space="preserve"> </w:t>
      </w:r>
      <w:r>
        <w:rPr>
          <w:rStyle w:val="VerbatimChar"/>
        </w:rPr>
        <w:t xml:space="preserve">digitise.py</w:t>
      </w:r>
      <w:r>
        <w:t xml:space="preserve"> </w:t>
      </w:r>
      <w:r>
        <w:t xml:space="preserve">(figure recovery),</w:t>
      </w:r>
      <w:r>
        <w:t xml:space="preserve"> </w:t>
      </w:r>
      <w:r>
        <w:rPr>
          <w:rStyle w:val="VerbatimChar"/>
        </w:rPr>
        <w:t xml:space="preserve">analysis.py</w:t>
      </w:r>
      <w:r>
        <w:t xml:space="preserve"> </w:t>
      </w:r>
      <w:r>
        <w:t xml:space="preserve">(all statistics, written to</w:t>
      </w:r>
      <w:r>
        <w:t xml:space="preserve"> </w:t>
      </w:r>
      <w:r>
        <w:rPr>
          <w:rStyle w:val="VerbatimChar"/>
        </w:rPr>
        <w:t xml:space="preserve">results.json</w:t>
      </w:r>
      <w:r>
        <w:t xml:space="preserve">) and</w:t>
      </w:r>
      <w:r>
        <w:t xml:space="preserve"> </w:t>
      </w:r>
      <w:r>
        <w:rPr>
          <w:rStyle w:val="VerbatimChar"/>
        </w:rPr>
        <w:t xml:space="preserve">figures.py</w:t>
      </w:r>
      <w:r>
        <w:t xml:space="preserve">. Listing 1 is the condensed core; it reproduces every headline number of Sections 3.1–3.5 and the calibration of Section 2.4 from the three intermediate files. If a Google Trends export of the vintage series (</w:t>
      </w:r>
      <w:r>
        <w:rPr>
          <w:rStyle w:val="VerbatimChar"/>
        </w:rPr>
        <w:t xml:space="preserve">multiTimeline.csv</w:t>
      </w:r>
      <w:r>
        <w:t xml:space="preserve">) is placed beside the scripts,</w:t>
      </w:r>
      <w:r>
        <w:t xml:space="preserve"> </w:t>
      </w:r>
      <w:r>
        <w:rPr>
          <w:rStyle w:val="VerbatimChar"/>
        </w:rPr>
        <w:t xml:space="preserve">analysis.py</w:t>
      </w:r>
      <w:r>
        <w:t xml:space="preserve"> </w:t>
      </w:r>
      <w:r>
        <w:t xml:space="preserve">replaces the digitised search component with a model fit on the export and recomputes.</w:t>
      </w:r>
    </w:p>
    <w:p>
      <w:pPr>
        <w:pStyle w:val="SourceCode"/>
      </w:pPr>
      <w:r>
        <w:rPr>
          <w:rStyle w:val="CommentTok"/>
        </w:rPr>
        <w:t xml:space="preserve">#!/usr/bin/env python3</w:t>
      </w:r>
      <w:r>
        <w:br/>
      </w:r>
      <w:r>
        <w:rPr>
          <w:rStyle w:val="CommentTok"/>
        </w:rPr>
        <w:t xml:space="preserve"># Listing 1. Reproducible core of Section 3 (condensed from analysis.py in the archive).</w:t>
      </w:r>
      <w:r>
        <w:br/>
      </w:r>
      <w:r>
        <w:rPr>
          <w:rStyle w:val="CommentTok"/>
        </w:rPr>
        <w:t xml:space="preserve"># Inputs: kp_ap_daily.csv (parse_sw.py); digitised_components.csv and</w:t>
      </w:r>
      <w:r>
        <w:br/>
      </w:r>
      <w:r>
        <w:rPr>
          <w:rStyle w:val="CommentTok"/>
        </w:rPr>
        <w:t xml:space="preserve">#         digitised_trends7d.csv (digitise.py).</w:t>
      </w:r>
      <w:r>
        <w:br/>
      </w: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rPr>
          <w:rStyle w:val="ImportTok"/>
        </w:rPr>
        <w:t xml:space="preserve">from</w:t>
      </w:r>
      <w:r>
        <w:rPr>
          <w:rStyle w:val="NormalTok"/>
        </w:rPr>
        <w:t xml:space="preserve"> prophet </w:t>
      </w:r>
      <w:r>
        <w:rPr>
          <w:rStyle w:val="ImportTok"/>
        </w:rPr>
        <w:t xml:space="preserve">import</w:t>
      </w:r>
      <w:r>
        <w:rPr>
          <w:rStyle w:val="NormalTok"/>
        </w:rPr>
        <w:t xml:space="preserve"> Prophet</w:t>
      </w:r>
      <w:r>
        <w:br/>
      </w:r>
      <w:r>
        <w:rPr>
          <w:rStyle w:val="ImportTok"/>
        </w:rPr>
        <w:t xml:space="preserve">from</w:t>
      </w:r>
      <w:r>
        <w:rPr>
          <w:rStyle w:val="NormalTok"/>
        </w:rPr>
        <w:t xml:space="preserve"> statsmodels.tsa.api </w:t>
      </w:r>
      <w:r>
        <w:rPr>
          <w:rStyle w:val="ImportTok"/>
        </w:rPr>
        <w:t xml:space="preserve">import</w:t>
      </w:r>
      <w:r>
        <w:rPr>
          <w:rStyle w:val="NormalTok"/>
        </w:rPr>
        <w:t xml:space="preserve"> VAR</w:t>
      </w:r>
      <w:r>
        <w:br/>
      </w:r>
      <w:r>
        <w:rPr>
          <w:rStyle w:val="NormalTok"/>
        </w:rPr>
        <w:t xml:space="preserve">N, P, H </w:t>
      </w:r>
      <w:r>
        <w:rPr>
          <w:rStyle w:val="OperatorTok"/>
        </w:rPr>
        <w:t xml:space="preserve">=</w:t>
      </w:r>
      <w:r>
        <w:rPr>
          <w:rStyle w:val="NormalTok"/>
        </w:rPr>
        <w:t xml:space="preserve"> </w:t>
      </w:r>
      <w:r>
        <w:rPr>
          <w:rStyle w:val="DecValTok"/>
        </w:rPr>
        <w:t xml:space="preserve">10</w:t>
      </w:r>
      <w:r>
        <w:rPr>
          <w:rStyle w:val="NormalTok"/>
        </w:rPr>
        <w:t xml:space="preserve">, </w:t>
      </w:r>
      <w:r>
        <w:rPr>
          <w:rStyle w:val="FloatTok"/>
        </w:rPr>
        <w:t xml:space="preserve">365.0</w:t>
      </w:r>
      <w:r>
        <w:rPr>
          <w:rStyle w:val="NormalTok"/>
        </w:rPr>
        <w:t xml:space="preserve">, </w:t>
      </w:r>
      <w:r>
        <w:rPr>
          <w:rStyle w:val="DecValTok"/>
        </w:rPr>
        <w:t xml:space="preserve">303</w:t>
      </w:r>
      <w:r>
        <w:rPr>
          <w:rStyle w:val="NormalTok"/>
        </w:rPr>
        <w:t xml:space="preserve">          </w:t>
      </w:r>
      <w:r>
        <w:rPr>
          <w:rStyle w:val="CommentTok"/>
        </w:rPr>
        <w:t xml:space="preserve"># Fourier order, grid period, 31 Oct (0-based day)</w:t>
      </w:r>
      <w:r>
        <w:br/>
      </w:r>
      <w:r>
        <w:br/>
      </w:r>
      <w:r>
        <w:rPr>
          <w:rStyle w:val="KeywordTok"/>
        </w:rPr>
        <w:t xml:space="preserve">def</w:t>
      </w:r>
      <w:r>
        <w:rPr>
          <w:rStyle w:val="NormalTok"/>
        </w:rPr>
        <w:t xml:space="preserve"> fourier_fit(y, n</w:t>
      </w:r>
      <w:r>
        <w:rPr>
          <w:rStyle w:val="OperatorTok"/>
        </w:rPr>
        <w:t xml:space="preserve">=</w:t>
      </w:r>
      <w:r>
        <w:rPr>
          <w:rStyle w:val="NormalTok"/>
        </w:rPr>
        <w:t xml:space="preserve">N):</w:t>
      </w:r>
      <w:r>
        <w:br/>
      </w:r>
      <w:r>
        <w:rPr>
          <w:rStyle w:val="NormalTok"/>
        </w:rPr>
        <w:t xml:space="preserve">    t </w:t>
      </w:r>
      <w:r>
        <w:rPr>
          <w:rStyle w:val="OperatorTok"/>
        </w:rPr>
        <w:t xml:space="preserve">=</w:t>
      </w:r>
      <w:r>
        <w:rPr>
          <w:rStyle w:val="NormalTok"/>
        </w:rPr>
        <w:t xml:space="preserve"> np.arange(</w:t>
      </w:r>
      <w:r>
        <w:rPr>
          <w:rStyle w:val="BuiltInTok"/>
        </w:rPr>
        <w:t xml:space="preserve">len</w:t>
      </w:r>
      <w:r>
        <w:rPr>
          <w:rStyle w:val="NormalTok"/>
        </w:rPr>
        <w:t xml:space="preserve">(y))</w:t>
      </w:r>
      <w:r>
        <w:rPr>
          <w:rStyle w:val="OperatorTok"/>
        </w:rPr>
        <w:t xml:space="preserve">;</w:t>
      </w:r>
      <w:r>
        <w:rPr>
          <w:rStyle w:val="NormalTok"/>
        </w:rPr>
        <w:t xml:space="preserve"> k </w:t>
      </w:r>
      <w:r>
        <w:rPr>
          <w:rStyle w:val="OperatorTok"/>
        </w:rPr>
        <w:t xml:space="preserve">=</w:t>
      </w:r>
      <w:r>
        <w:rPr>
          <w:rStyle w:val="NormalTok"/>
        </w:rPr>
        <w:t xml:space="preserve"> np.arange(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arg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np.outer(t, k) </w:t>
      </w:r>
      <w:r>
        <w:rPr>
          <w:rStyle w:val="OperatorTok"/>
        </w:rPr>
        <w:t xml:space="preserve">/</w:t>
      </w:r>
      <w:r>
        <w:rPr>
          <w:rStyle w:val="NormalTok"/>
        </w:rPr>
        <w:t xml:space="preserve"> P</w:t>
      </w:r>
      <w:r>
        <w:br/>
      </w:r>
      <w:r>
        <w:rPr>
          <w:rStyle w:val="NormalTok"/>
        </w:rPr>
        <w:t xml:space="preserve">    X </w:t>
      </w:r>
      <w:r>
        <w:rPr>
          <w:rStyle w:val="OperatorTok"/>
        </w:rPr>
        <w:t xml:space="preserve">=</w:t>
      </w:r>
      <w:r>
        <w:rPr>
          <w:rStyle w:val="NormalTok"/>
        </w:rPr>
        <w:t xml:space="preserve"> np.hstack([np.ones((</w:t>
      </w:r>
      <w:r>
        <w:rPr>
          <w:rStyle w:val="BuiltInTok"/>
        </w:rPr>
        <w:t xml:space="preserve">len</w:t>
      </w:r>
      <w:r>
        <w:rPr>
          <w:rStyle w:val="NormalTok"/>
        </w:rPr>
        <w:t xml:space="preserve">(y), </w:t>
      </w:r>
      <w:r>
        <w:rPr>
          <w:rStyle w:val="DecValTok"/>
        </w:rPr>
        <w:t xml:space="preserve">1</w:t>
      </w:r>
      <w:r>
        <w:rPr>
          <w:rStyle w:val="NormalTok"/>
        </w:rPr>
        <w:t xml:space="preserve">)), np.cos(arg), np.sin(arg)])</w:t>
      </w:r>
      <w:r>
        <w:br/>
      </w:r>
      <w:r>
        <w:rPr>
          <w:rStyle w:val="NormalTok"/>
        </w:rPr>
        <w:t xml:space="preserve">    b </w:t>
      </w:r>
      <w:r>
        <w:rPr>
          <w:rStyle w:val="OperatorTok"/>
        </w:rPr>
        <w:t xml:space="preserve">=</w:t>
      </w:r>
      <w:r>
        <w:rPr>
          <w:rStyle w:val="NormalTok"/>
        </w:rPr>
        <w:t xml:space="preserve"> np.linalg.lstsq(X, y, rcond</w:t>
      </w:r>
      <w:r>
        <w:rPr>
          <w:rStyle w:val="OperatorTok"/>
        </w:rPr>
        <w:t xml:space="preserve">=</w:t>
      </w:r>
      <w:r>
        <w:rPr>
          <w:rStyle w:val="VariableTok"/>
        </w:rPr>
        <w:t xml:space="preserve">None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fit </w:t>
      </w:r>
      <w:r>
        <w:rPr>
          <w:rStyle w:val="OperatorTok"/>
        </w:rPr>
        <w:t xml:space="preserve">=</w:t>
      </w:r>
      <w:r>
        <w:rPr>
          <w:rStyle w:val="NormalTok"/>
        </w:rPr>
        <w:t xml:space="preserve"> X </w:t>
      </w:r>
      <w:r>
        <w:rPr>
          <w:rStyle w:val="OperatorTok"/>
        </w:rPr>
        <w:t xml:space="preserve">@</w:t>
      </w:r>
      <w:r>
        <w:rPr>
          <w:rStyle w:val="NormalTok"/>
        </w:rPr>
        <w:t xml:space="preserve"> b</w:t>
      </w:r>
      <w:r>
        <w:br/>
      </w:r>
      <w:r>
        <w:rPr>
          <w:rStyle w:val="NormalTok"/>
        </w:rPr>
        <w:t xml:space="preserve">    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fit)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y.mean())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np.hypot(b[</w:t>
      </w:r>
      <w:r>
        <w:rPr>
          <w:rStyle w:val="DecValTok"/>
        </w:rPr>
        <w:t xml:space="preserve">1</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b[n </w:t>
      </w:r>
      <w:r>
        <w:rPr>
          <w:rStyle w:val="OperatorTok"/>
        </w:rPr>
        <w:t xml:space="preserve">+</w:t>
      </w:r>
      <w:r>
        <w:rPr>
          <w:rStyle w:val="NormalTok"/>
        </w:rPr>
        <w:t xml:space="preserve"> </w:t>
      </w:r>
      <w:r>
        <w:rPr>
          <w:rStyle w:val="DecValTok"/>
        </w:rPr>
        <w:t xml:space="preserve">1</w:t>
      </w:r>
      <w:r>
        <w:rPr>
          <w:rStyle w:val="NormalTok"/>
        </w:rPr>
        <w:t xml:space="preserve">:]), np.arctan2(b[n </w:t>
      </w:r>
      <w:r>
        <w:rPr>
          <w:rStyle w:val="OperatorTok"/>
        </w:rPr>
        <w:t xml:space="preserve">+</w:t>
      </w:r>
      <w:r>
        <w:rPr>
          <w:rStyle w:val="NormalTok"/>
        </w:rPr>
        <w:t xml:space="preserve"> </w:t>
      </w:r>
      <w:r>
        <w:rPr>
          <w:rStyle w:val="DecValTok"/>
        </w:rPr>
        <w:t xml:space="preserve">1</w:t>
      </w:r>
      <w:r>
        <w:rPr>
          <w:rStyle w:val="NormalTok"/>
        </w:rPr>
        <w:t xml:space="preserve">:], b[</w:t>
      </w:r>
      <w:r>
        <w:rPr>
          <w:rStyle w:val="DecValTok"/>
        </w:rPr>
        <w:t xml:space="preserve">1</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r2</w:t>
      </w:r>
      <w:r>
        <w:br/>
      </w:r>
      <w:r>
        <w:br/>
      </w:r>
      <w:r>
        <w:rPr>
          <w:rStyle w:val="KeywordTok"/>
        </w:rPr>
        <w:t xml:space="preserve">def</w:t>
      </w:r>
      <w:r>
        <w:rPr>
          <w:rStyle w:val="NormalTok"/>
        </w:rPr>
        <w:t xml:space="preserve"> coherence(sU, sA, taus):      </w:t>
      </w:r>
      <w:r>
        <w:rPr>
          <w:rStyle w:val="CommentTok"/>
        </w:rPr>
        <w:t xml:space="preserve"># C(tau) = &lt;sU(.+tau), sA(.)&gt; / (|sU| |sA|), circular</w:t>
      </w:r>
      <w:r>
        <w:br/>
      </w:r>
      <w:r>
        <w:rPr>
          <w:rStyle w:val="NormalTok"/>
        </w:rPr>
        <w:t xml:space="preserve">    u, a </w:t>
      </w:r>
      <w:r>
        <w:rPr>
          <w:rStyle w:val="OperatorTok"/>
        </w:rPr>
        <w:t xml:space="preserve">=</w:t>
      </w:r>
      <w:r>
        <w:rPr>
          <w:rStyle w:val="NormalTok"/>
        </w:rPr>
        <w:t xml:space="preserve"> sU </w:t>
      </w:r>
      <w:r>
        <w:rPr>
          <w:rStyle w:val="OperatorTok"/>
        </w:rPr>
        <w:t xml:space="preserve">-</w:t>
      </w:r>
      <w:r>
        <w:rPr>
          <w:rStyle w:val="NormalTok"/>
        </w:rPr>
        <w:t xml:space="preserve"> sU.mean(), sA </w:t>
      </w:r>
      <w:r>
        <w:rPr>
          <w:rStyle w:val="OperatorTok"/>
        </w:rPr>
        <w:t xml:space="preserve">-</w:t>
      </w:r>
      <w:r>
        <w:rPr>
          <w:rStyle w:val="NormalTok"/>
        </w:rPr>
        <w:t xml:space="preserve"> sA.mean()</w:t>
      </w:r>
      <w:r>
        <w:br/>
      </w:r>
      <w:r>
        <w:rPr>
          <w:rStyle w:val="NormalTok"/>
        </w:rPr>
        <w:t xml:space="preserve">    d </w:t>
      </w:r>
      <w:r>
        <w:rPr>
          <w:rStyle w:val="OperatorTok"/>
        </w:rPr>
        <w:t xml:space="preserve">=</w:t>
      </w:r>
      <w:r>
        <w:rPr>
          <w:rStyle w:val="NormalTok"/>
        </w:rPr>
        <w:t xml:space="preserve"> np.linalg.norm(u) </w:t>
      </w:r>
      <w:r>
        <w:rPr>
          <w:rStyle w:val="OperatorTok"/>
        </w:rPr>
        <w:t xml:space="preserve">*</w:t>
      </w:r>
      <w:r>
        <w:rPr>
          <w:rStyle w:val="NormalTok"/>
        </w:rPr>
        <w:t xml:space="preserve"> np.linalg.norm(a)</w:t>
      </w:r>
      <w:r>
        <w:br/>
      </w:r>
      <w:r>
        <w:rPr>
          <w:rStyle w:val="NormalTok"/>
        </w:rPr>
        <w:t xml:space="preserve">    </w:t>
      </w:r>
      <w:r>
        <w:rPr>
          <w:rStyle w:val="ControlFlowTok"/>
        </w:rPr>
        <w:t xml:space="preserve">return</w:t>
      </w:r>
      <w:r>
        <w:rPr>
          <w:rStyle w:val="NormalTok"/>
        </w:rPr>
        <w:t xml:space="preserve"> np.array([np.dot(np.roll(u, </w:t>
      </w:r>
      <w:r>
        <w:rPr>
          <w:rStyle w:val="OperatorTok"/>
        </w:rPr>
        <w:t xml:space="preserve">-</w:t>
      </w:r>
      <w:r>
        <w:rPr>
          <w:rStyle w:val="NormalTok"/>
        </w:rPr>
        <w:t xml:space="preserve">t), a) </w:t>
      </w:r>
      <w:r>
        <w:rPr>
          <w:rStyle w:val="OperatorTok"/>
        </w:rPr>
        <w:t xml:space="preserve">/</w:t>
      </w:r>
      <w:r>
        <w:rPr>
          <w:rStyle w:val="NormalTok"/>
        </w:rPr>
        <w:t xml:space="preserve"> d </w:t>
      </w:r>
      <w:r>
        <w:rPr>
          <w:rStyle w:val="ControlFlowTok"/>
        </w:rPr>
        <w:t xml:space="preserve">for</w:t>
      </w:r>
      <w:r>
        <w:rPr>
          <w:rStyle w:val="NormalTok"/>
        </w:rPr>
        <w:t xml:space="preserve"> t </w:t>
      </w:r>
      <w:r>
        <w:rPr>
          <w:rStyle w:val="KeywordTok"/>
        </w:rPr>
        <w:t xml:space="preserve">in</w:t>
      </w:r>
      <w:r>
        <w:rPr>
          <w:rStyle w:val="NormalTok"/>
        </w:rPr>
        <w:t xml:space="preserve"> taus])</w:t>
      </w:r>
      <w:r>
        <w:br/>
      </w:r>
      <w:r>
        <w:br/>
      </w:r>
      <w:r>
        <w:rPr>
          <w:rStyle w:val="KeywordTok"/>
        </w:rPr>
        <w:t xml:space="preserve">def</w:t>
      </w:r>
      <w:r>
        <w:rPr>
          <w:rStyle w:val="NormalTok"/>
        </w:rPr>
        <w:t xml:space="preserve"> phase(s):                     </w:t>
      </w:r>
      <w:r>
        <w:rPr>
          <w:rStyle w:val="CommentTok"/>
        </w:rPr>
        <w:t xml:space="preserve"># analytic-signal phase; exact on a full period</w:t>
      </w:r>
      <w:r>
        <w:br/>
      </w:r>
      <w:r>
        <w:rPr>
          <w:rStyle w:val="NormalTok"/>
        </w:rPr>
        <w:t xml:space="preserve">    </w:t>
      </w:r>
      <w:r>
        <w:rPr>
          <w:rStyle w:val="ControlFlowTok"/>
        </w:rPr>
        <w:t xml:space="preserve">return</w:t>
      </w:r>
      <w:r>
        <w:rPr>
          <w:rStyle w:val="NormalTok"/>
        </w:rPr>
        <w:t xml:space="preserve"> np.angle(signal.hilbert(s </w:t>
      </w:r>
      <w:r>
        <w:rPr>
          <w:rStyle w:val="OperatorTok"/>
        </w:rPr>
        <w:t xml:space="preserve">-</w:t>
      </w:r>
      <w:r>
        <w:rPr>
          <w:rStyle w:val="NormalTok"/>
        </w:rPr>
        <w:t xml:space="preserve"> s.mean()))</w:t>
      </w:r>
      <w:r>
        <w:br/>
      </w:r>
      <w:r>
        <w:br/>
      </w:r>
      <w:r>
        <w:rPr>
          <w:rStyle w:val="KeywordTok"/>
        </w:rPr>
        <w:t xml:space="preserve">def</w:t>
      </w:r>
      <w:r>
        <w:rPr>
          <w:rStyle w:val="NormalTok"/>
        </w:rPr>
        <w:t xml:space="preserve"> rayleigh(th):</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(th)</w:t>
      </w:r>
      <w:r>
        <w:rPr>
          <w:rStyle w:val="OperatorTok"/>
        </w:rPr>
        <w:t xml:space="preserve">;</w:t>
      </w:r>
      <w:r>
        <w:rPr>
          <w:rStyle w:val="NormalTok"/>
        </w:rPr>
        <w:t xml:space="preserve"> Rb </w:t>
      </w:r>
      <w:r>
        <w:rPr>
          <w:rStyle w:val="OperatorTok"/>
        </w:rPr>
        <w:t xml:space="preserve">=</w:t>
      </w:r>
      <w:r>
        <w:rPr>
          <w:rStyle w:val="NormalTok"/>
        </w:rPr>
        <w:t xml:space="preserve"> </w:t>
      </w:r>
      <w:r>
        <w:rPr>
          <w:rStyle w:val="BuiltInTok"/>
        </w:rPr>
        <w:t xml:space="preserve">abs</w:t>
      </w:r>
      <w:r>
        <w:rPr>
          <w:rStyle w:val="NormalTok"/>
        </w:rPr>
        <w:t xml:space="preserve">(np.exp(</w:t>
      </w:r>
      <w:r>
        <w:rPr>
          <w:rStyle w:val="OtherTok"/>
        </w:rPr>
        <w:t xml:space="preserve">1j</w:t>
      </w:r>
      <w:r>
        <w:rPr>
          <w:rStyle w:val="NormalTok"/>
        </w:rPr>
        <w:t xml:space="preserve"> </w:t>
      </w:r>
      <w:r>
        <w:rPr>
          <w:rStyle w:val="OperatorTok"/>
        </w:rPr>
        <w:t xml:space="preserve">*</w:t>
      </w:r>
      <w:r>
        <w:rPr>
          <w:rStyle w:val="NormalTok"/>
        </w:rPr>
        <w:t xml:space="preserve"> np.asarray(th)).mean())</w:t>
      </w:r>
      <w:r>
        <w:rPr>
          <w:rStyle w:val="OperatorTok"/>
        </w:rPr>
        <w:t xml:space="preserve">;</w:t>
      </w:r>
      <w:r>
        <w:rPr>
          <w:rStyle w:val="NormalTok"/>
        </w:rPr>
        <w:t xml:space="preserve"> Z </w:t>
      </w:r>
      <w:r>
        <w:rPr>
          <w:rStyle w:val="OperatorTok"/>
        </w:rPr>
        <w:t xml:space="preserve">=</w:t>
      </w:r>
      <w:r>
        <w:rPr>
          <w:rStyle w:val="NormalTok"/>
        </w:rPr>
        <w:t xml:space="preserve"> n </w:t>
      </w:r>
      <w:r>
        <w:rPr>
          <w:rStyle w:val="OperatorTok"/>
        </w:rPr>
        <w:t xml:space="preserve">*</w:t>
      </w:r>
      <w:r>
        <w:rPr>
          <w:rStyle w:val="NormalTok"/>
        </w:rPr>
        <w:t xml:space="preserve"> Rb </w:t>
      </w:r>
      <w:r>
        <w:rPr>
          <w:rStyle w:val="OperatorTok"/>
        </w:rPr>
        <w:t xml:space="preserve">**</w:t>
      </w:r>
      <w:r>
        <w:rPr>
          <w:rStyle w:val="NormalTok"/>
        </w:rPr>
        <w:t xml:space="preserve"> </w:t>
      </w:r>
      <w:r>
        <w:rPr>
          <w:rStyle w:val="DecValTok"/>
        </w:rPr>
        <w:t xml:space="preserve">2</w:t>
      </w:r>
      <w:r>
        <w:br/>
      </w:r>
      <w:r>
        <w:rPr>
          <w:rStyle w:val="NormalTok"/>
        </w:rPr>
        <w:t xml:space="preserve">    p </w:t>
      </w:r>
      <w:r>
        <w:rPr>
          <w:rStyle w:val="OperatorTok"/>
        </w:rPr>
        <w:t xml:space="preserve">=</w:t>
      </w:r>
      <w:r>
        <w:rPr>
          <w:rStyle w:val="NormalTok"/>
        </w:rPr>
        <w:t xml:space="preserve"> np.exp(</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132</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76</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288</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Rb, Z, p</w:t>
      </w:r>
      <w:r>
        <w:br/>
      </w:r>
      <w:r>
        <w:br/>
      </w:r>
      <w:r>
        <w:rPr>
          <w:rStyle w:val="KeywordTok"/>
        </w:rPr>
        <w:t xml:space="preserve">def</w:t>
      </w:r>
      <w:r>
        <w:rPr>
          <w:rStyle w:val="NormalTok"/>
        </w:rPr>
        <w:t xml:space="preserve"> peaks(s, frac</w:t>
      </w:r>
      <w:r>
        <w:rPr>
          <w:rStyle w:val="OperatorTok"/>
        </w:rPr>
        <w:t xml:space="preserve">=</w:t>
      </w:r>
      <w:r>
        <w:rPr>
          <w:rStyle w:val="FloatTok"/>
        </w:rPr>
        <w:t xml:space="preserve">0.10</w:t>
      </w:r>
      <w:r>
        <w:rPr>
          <w:rStyle w:val="NormalTok"/>
        </w:rPr>
        <w:t xml:space="preserve">):</w:t>
      </w:r>
      <w:r>
        <w:br/>
      </w:r>
      <w:r>
        <w:rPr>
          <w:rStyle w:val="NormalTok"/>
        </w:rPr>
        <w:t xml:space="preserve">    e </w:t>
      </w:r>
      <w:r>
        <w:rPr>
          <w:rStyle w:val="OperatorTok"/>
        </w:rPr>
        <w:t xml:space="preserve">=</w:t>
      </w:r>
      <w:r>
        <w:rPr>
          <w:rStyle w:val="NormalTok"/>
        </w:rPr>
        <w:t xml:space="preserve"> np.concatenate([s, s, s])</w:t>
      </w:r>
      <w:r>
        <w:br/>
      </w:r>
      <w:r>
        <w:rPr>
          <w:rStyle w:val="NormalTok"/>
        </w:rPr>
        <w:t xml:space="preserve">    p, _ </w:t>
      </w:r>
      <w:r>
        <w:rPr>
          <w:rStyle w:val="OperatorTok"/>
        </w:rPr>
        <w:t xml:space="preserve">=</w:t>
      </w:r>
      <w:r>
        <w:rPr>
          <w:rStyle w:val="NormalTok"/>
        </w:rPr>
        <w:t xml:space="preserve"> signal.find_peaks(e, prominence</w:t>
      </w:r>
      <w:r>
        <w:rPr>
          <w:rStyle w:val="OperatorTok"/>
        </w:rPr>
        <w:t xml:space="preserve">=</w:t>
      </w:r>
      <w:r>
        <w:rPr>
          <w:rStyle w:val="NormalTok"/>
        </w:rPr>
        <w:t xml:space="preserve">frac </w:t>
      </w:r>
      <w:r>
        <w:rPr>
          <w:rStyle w:val="OperatorTok"/>
        </w:rPr>
        <w:t xml:space="preserve">*</w:t>
      </w:r>
      <w:r>
        <w:rPr>
          <w:rStyle w:val="NormalTok"/>
        </w:rPr>
        <w:t xml:space="preserve"> np.ptp(s))</w:t>
      </w:r>
      <w:r>
        <w:br/>
      </w:r>
      <w:r>
        <w:rPr>
          <w:rStyle w:val="NormalTok"/>
        </w:rPr>
        <w:t xml:space="preserve">    </w:t>
      </w:r>
      <w:r>
        <w:rPr>
          <w:rStyle w:val="ControlFlowTok"/>
        </w:rPr>
        <w:t xml:space="preserve">return</w:t>
      </w:r>
      <w:r>
        <w:rPr>
          <w:rStyle w:val="NormalTok"/>
        </w:rPr>
        <w:t xml:space="preserve"> np.unique(p[(p </w:t>
      </w:r>
      <w:r>
        <w:rPr>
          <w:rStyle w:val="OperatorTok"/>
        </w:rPr>
        <w:t xml:space="preserve">&gt;=</w:t>
      </w:r>
      <w:r>
        <w:rPr>
          <w:rStyle w:val="NormalTok"/>
        </w:rPr>
        <w:t xml:space="preserve"> </w:t>
      </w:r>
      <w:r>
        <w:rPr>
          <w:rStyle w:val="BuiltInTok"/>
        </w:rPr>
        <w:t xml:space="preserve">len</w:t>
      </w:r>
      <w:r>
        <w:rPr>
          <w:rStyle w:val="NormalTok"/>
        </w:rPr>
        <w:t xml:space="preserve">(s)) </w:t>
      </w:r>
      <w:r>
        <w:rPr>
          <w:rStyle w:val="OperatorTok"/>
        </w:rPr>
        <w:t xml:space="preserve">&amp;</w:t>
      </w:r>
      <w:r>
        <w:rPr>
          <w:rStyle w:val="NormalTok"/>
        </w:rPr>
        <w:t xml:space="preserve"> (p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BuiltInTok"/>
        </w:rPr>
        <w:t xml:space="preserve">len</w:t>
      </w:r>
      <w:r>
        <w:rPr>
          <w:rStyle w:val="NormalTok"/>
        </w:rPr>
        <w:t xml:space="preserve">(s))</w:t>
      </w:r>
      <w:r>
        <w:br/>
      </w:r>
      <w:r>
        <w:br/>
      </w:r>
      <w:r>
        <w:rPr>
          <w:rStyle w:val="KeywordTok"/>
        </w:rPr>
        <w:t xml:space="preserve">def</w:t>
      </w:r>
      <w:r>
        <w:rPr>
          <w:rStyle w:val="NormalTok"/>
        </w:rPr>
        <w:t xml:space="preserve"> prophet_yearly(series):       </w:t>
      </w:r>
      <w:r>
        <w:rPr>
          <w:rStyle w:val="CommentTok"/>
        </w:rPr>
        <w:t xml:space="preserve"># Prophet, multiplicative, yearly order 10, % of trend</w:t>
      </w:r>
      <w:r>
        <w:br/>
      </w:r>
      <w:r>
        <w:rPr>
          <w:rStyle w:val="NormalTok"/>
        </w:rPr>
        <w:t xml:space="preserve">    df </w:t>
      </w:r>
      <w:r>
        <w:rPr>
          <w:rStyle w:val="OperatorTok"/>
        </w:rPr>
        <w:t xml:space="preserve">=</w:t>
      </w:r>
      <w:r>
        <w:rPr>
          <w:rStyle w:val="NormalTok"/>
        </w:rPr>
        <w:t xml:space="preserve"> pd.DataFrame({</w:t>
      </w:r>
      <w:r>
        <w:rPr>
          <w:rStyle w:val="StringTok"/>
        </w:rPr>
        <w:t xml:space="preserve">"ds"</w:t>
      </w:r>
      <w:r>
        <w:rPr>
          <w:rStyle w:val="NormalTok"/>
        </w:rPr>
        <w:t xml:space="preserve">: series.index, </w:t>
      </w:r>
      <w:r>
        <w:rPr>
          <w:rStyle w:val="StringTok"/>
        </w:rPr>
        <w:t xml:space="preserve">"y"</w:t>
      </w:r>
      <w:r>
        <w:rPr>
          <w:rStyle w:val="NormalTok"/>
        </w:rPr>
        <w:t xml:space="preserve">: series.values})</w:t>
      </w:r>
      <w:r>
        <w:br/>
      </w:r>
      <w:r>
        <w:rPr>
          <w:rStyle w:val="NormalTok"/>
        </w:rPr>
        <w:t xml:space="preserve">    m </w:t>
      </w:r>
      <w:r>
        <w:rPr>
          <w:rStyle w:val="OperatorTok"/>
        </w:rPr>
        <w:t xml:space="preserve">=</w:t>
      </w:r>
      <w:r>
        <w:rPr>
          <w:rStyle w:val="NormalTok"/>
        </w:rPr>
        <w:t xml:space="preserve"> Prophet(yearly_seasonality</w:t>
      </w:r>
      <w:r>
        <w:rPr>
          <w:rStyle w:val="OperatorTok"/>
        </w:rPr>
        <w:t xml:space="preserve">=</w:t>
      </w:r>
      <w:r>
        <w:rPr>
          <w:rStyle w:val="NormalTok"/>
        </w:rPr>
        <w:t xml:space="preserve">N, weekly_seasonality</w:t>
      </w:r>
      <w:r>
        <w:rPr>
          <w:rStyle w:val="OperatorTok"/>
        </w:rPr>
        <w:t xml:space="preserve">=</w:t>
      </w:r>
      <w:r>
        <w:rPr>
          <w:rStyle w:val="VariableTok"/>
        </w:rPr>
        <w:t xml:space="preserve">False</w:t>
      </w:r>
      <w:r>
        <w:rPr>
          <w:rStyle w:val="NormalTok"/>
        </w:rPr>
        <w:t xml:space="preserve">,</w:t>
      </w:r>
      <w:r>
        <w:br/>
      </w:r>
      <w:r>
        <w:rPr>
          <w:rStyle w:val="NormalTok"/>
        </w:rPr>
        <w:t xml:space="preserve">                daily_seasonality</w:t>
      </w:r>
      <w:r>
        <w:rPr>
          <w:rStyle w:val="OperatorTok"/>
        </w:rPr>
        <w:t xml:space="preserve">=</w:t>
      </w:r>
      <w:r>
        <w:rPr>
          <w:rStyle w:val="VariableTok"/>
        </w:rPr>
        <w:t xml:space="preserve">False</w:t>
      </w:r>
      <w:r>
        <w:rPr>
          <w:rStyle w:val="NormalTok"/>
        </w:rPr>
        <w:t xml:space="preserve">, seasonality_mode</w:t>
      </w:r>
      <w:r>
        <w:rPr>
          <w:rStyle w:val="OperatorTok"/>
        </w:rPr>
        <w:t xml:space="preserve">=</w:t>
      </w:r>
      <w:r>
        <w:rPr>
          <w:rStyle w:val="StringTok"/>
        </w:rPr>
        <w:t xml:space="preserve">"multiplicative"</w:t>
      </w:r>
      <w:r>
        <w:rPr>
          <w:rStyle w:val="NormalTok"/>
        </w:rPr>
        <w:t xml:space="preserve">).fit(df)</w:t>
      </w:r>
      <w:r>
        <w:br/>
      </w:r>
      <w:r>
        <w:rPr>
          <w:rStyle w:val="NormalTok"/>
        </w:rPr>
        <w:t xml:space="preserve">    grid </w:t>
      </w:r>
      <w:r>
        <w:rPr>
          <w:rStyle w:val="OperatorTok"/>
        </w:rPr>
        <w:t xml:space="preserve">=</w:t>
      </w:r>
      <w:r>
        <w:rPr>
          <w:rStyle w:val="NormalTok"/>
        </w:rPr>
        <w:t xml:space="preserve"> pd.DataFrame({</w:t>
      </w:r>
      <w:r>
        <w:rPr>
          <w:rStyle w:val="StringTok"/>
        </w:rPr>
        <w:t xml:space="preserve">"ds"</w:t>
      </w:r>
      <w:r>
        <w:rPr>
          <w:rStyle w:val="NormalTok"/>
        </w:rPr>
        <w:t xml:space="preserve">: pd.date_range(</w:t>
      </w:r>
      <w:r>
        <w:rPr>
          <w:rStyle w:val="StringTok"/>
        </w:rPr>
        <w:t xml:space="preserve">"2017-01-01"</w:t>
      </w:r>
      <w:r>
        <w:rPr>
          <w:rStyle w:val="NormalTok"/>
        </w:rPr>
        <w:t xml:space="preserve">, periods</w:t>
      </w:r>
      <w:r>
        <w:rPr>
          <w:rStyle w:val="OperatorTok"/>
        </w:rPr>
        <w:t xml:space="preserve">=</w:t>
      </w:r>
      <w:r>
        <w:rPr>
          <w:rStyle w:val="DecValTok"/>
        </w:rPr>
        <w:t xml:space="preserve">365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m.predict(grid)[</w:t>
      </w:r>
      <w:r>
        <w:rPr>
          <w:rStyle w:val="StringTok"/>
        </w:rPr>
        <w:t xml:space="preserve">"yearly"</w:t>
      </w:r>
      <w:r>
        <w:rPr>
          <w:rStyle w:val="NormalTok"/>
        </w:rPr>
        <w:t xml:space="preserve">].values</w:t>
      </w:r>
      <w:r>
        <w:br/>
      </w:r>
      <w:r>
        <w:br/>
      </w:r>
      <w:r>
        <w:rPr>
          <w:rStyle w:val="NormalTok"/>
        </w:rPr>
        <w:t xml:space="preserve">kp </w:t>
      </w:r>
      <w:r>
        <w:rPr>
          <w:rStyle w:val="OperatorTok"/>
        </w:rPr>
        <w:t xml:space="preserve">=</w:t>
      </w:r>
      <w:r>
        <w:rPr>
          <w:rStyle w:val="NormalTok"/>
        </w:rPr>
        <w:t xml:space="preserve"> pd.read_csv(</w:t>
      </w:r>
      <w:r>
        <w:rPr>
          <w:rStyle w:val="StringTok"/>
        </w:rPr>
        <w:t xml:space="preserve">"kp_ap_daily.csv"</w:t>
      </w:r>
      <w:r>
        <w:rPr>
          <w:rStyle w:val="NormalTok"/>
        </w:rPr>
        <w:t xml:space="preserve">, index_col</w:t>
      </w:r>
      <w:r>
        <w:rPr>
          <w:rStyle w:val="OperatorTok"/>
        </w:rPr>
        <w:t xml:space="preserve">=</w:t>
      </w:r>
      <w:r>
        <w:rPr>
          <w:rStyle w:val="DecValTok"/>
        </w:rPr>
        <w:t xml:space="preserve">0</w:t>
      </w:r>
      <w:r>
        <w:rPr>
          <w:rStyle w:val="NormalTok"/>
        </w:rPr>
        <w:t xml:space="preserve">, parse_dates</w:t>
      </w:r>
      <w:r>
        <w:rPr>
          <w:rStyle w:val="OperatorTok"/>
        </w:rPr>
        <w:t xml:space="preserve">=</w:t>
      </w:r>
      <w:r>
        <w:rPr>
          <w:rStyle w:val="VariableTok"/>
        </w:rPr>
        <w:t xml:space="preserve">True</w:t>
      </w:r>
      <w:r>
        <w:rPr>
          <w:rStyle w:val="NormalTok"/>
        </w:rPr>
        <w:t xml:space="preserve">)</w:t>
      </w:r>
      <w:r>
        <w:br/>
      </w:r>
      <w:r>
        <w:rPr>
          <w:rStyle w:val="NormalTok"/>
        </w:rPr>
        <w:t xml:space="preserve">comp </w:t>
      </w:r>
      <w:r>
        <w:rPr>
          <w:rStyle w:val="OperatorTok"/>
        </w:rPr>
        <w:t xml:space="preserve">=</w:t>
      </w:r>
      <w:r>
        <w:rPr>
          <w:rStyle w:val="NormalTok"/>
        </w:rPr>
        <w:t xml:space="preserve"> pd.read_csv(</w:t>
      </w:r>
      <w:r>
        <w:rPr>
          <w:rStyle w:val="StringTok"/>
        </w:rPr>
        <w:t xml:space="preserve">"digitised_components.csv"</w:t>
      </w:r>
      <w:r>
        <w:rPr>
          <w:rStyle w:val="NormalTok"/>
        </w:rPr>
        <w:t xml:space="preserve">, index_col</w:t>
      </w:r>
      <w:r>
        <w:rPr>
          <w:rStyle w:val="OperatorTok"/>
        </w:rPr>
        <w:t xml:space="preserve">=</w:t>
      </w:r>
      <w:r>
        <w:rPr>
          <w:rStyle w:val="DecValTok"/>
        </w:rPr>
        <w:t xml:space="preserve">0</w:t>
      </w:r>
      <w:r>
        <w:rPr>
          <w:rStyle w:val="NormalTok"/>
        </w:rPr>
        <w:t xml:space="preserve">)</w:t>
      </w:r>
      <w:r>
        <w:br/>
      </w:r>
      <w:r>
        <w:rPr>
          <w:rStyle w:val="NormalTok"/>
        </w:rPr>
        <w:t xml:space="preserve">tr7 </w:t>
      </w:r>
      <w:r>
        <w:rPr>
          <w:rStyle w:val="OperatorTok"/>
        </w:rPr>
        <w:t xml:space="preserve">=</w:t>
      </w:r>
      <w:r>
        <w:rPr>
          <w:rStyle w:val="NormalTok"/>
        </w:rPr>
        <w:t xml:space="preserve"> pd.read_csv(</w:t>
      </w:r>
      <w:r>
        <w:rPr>
          <w:rStyle w:val="StringTok"/>
        </w:rPr>
        <w:t xml:space="preserve">"digitised_trends7d.csv"</w:t>
      </w:r>
      <w:r>
        <w:rPr>
          <w:rStyle w:val="NormalTok"/>
        </w:rPr>
        <w:t xml:space="preserve">, index_col</w:t>
      </w:r>
      <w:r>
        <w:rPr>
          <w:rStyle w:val="OperatorTok"/>
        </w:rPr>
        <w:t xml:space="preserve">=</w:t>
      </w:r>
      <w:r>
        <w:rPr>
          <w:rStyle w:val="DecValTok"/>
        </w:rPr>
        <w:t xml:space="preserve">0</w:t>
      </w:r>
      <w:r>
        <w:rPr>
          <w:rStyle w:val="NormalTok"/>
        </w:rPr>
        <w:t xml:space="preserve">, parse_dates</w:t>
      </w:r>
      <w:r>
        <w:rPr>
          <w:rStyle w:val="OperatorTok"/>
        </w:rPr>
        <w:t xml:space="preserve">=</w:t>
      </w:r>
      <w:r>
        <w:rPr>
          <w:rStyle w:val="VariableTok"/>
        </w:rPr>
        <w:t xml:space="preserve">True</w:t>
      </w:r>
      <w:r>
        <w:rPr>
          <w:rStyle w:val="NormalTok"/>
        </w:rPr>
        <w:t xml:space="preserve">)</w:t>
      </w:r>
      <w:r>
        <w:br/>
      </w:r>
      <w:r>
        <w:br/>
      </w:r>
      <w:r>
        <w:rPr>
          <w:rStyle w:val="CommentTok"/>
        </w:rPr>
        <w:t xml:space="preserve"># --- 3.1  recompute the Ap component on the definitive series; validate the digitisation</w:t>
      </w:r>
      <w:r>
        <w:br/>
      </w:r>
      <w:r>
        <w:rPr>
          <w:rStyle w:val="NormalTok"/>
        </w:rPr>
        <w:t xml:space="preserve">sA_def </w:t>
      </w:r>
      <w:r>
        <w:rPr>
          <w:rStyle w:val="OperatorTok"/>
        </w:rPr>
        <w:t xml:space="preserve">=</w:t>
      </w:r>
      <w:r>
        <w:rPr>
          <w:rStyle w:val="NormalTok"/>
        </w:rPr>
        <w:t xml:space="preserve"> prophet_yearly(kp.loc[</w:t>
      </w:r>
      <w:r>
        <w:rPr>
          <w:rStyle w:val="StringTok"/>
        </w:rPr>
        <w:t xml:space="preserve">"2004-01-01"</w:t>
      </w:r>
      <w:r>
        <w:rPr>
          <w:rStyle w:val="NormalTok"/>
        </w:rPr>
        <w:t xml:space="preserve">:</w:t>
      </w:r>
      <w:r>
        <w:rPr>
          <w:rStyle w:val="StringTok"/>
        </w:rPr>
        <w:t xml:space="preserve">"2021-09-30"</w:t>
      </w:r>
      <w:r>
        <w:rPr>
          <w:rStyle w:val="NormalTok"/>
        </w:rPr>
        <w:t xml:space="preserve">, </w:t>
      </w:r>
      <w:r>
        <w:rPr>
          <w:rStyle w:val="StringTok"/>
        </w:rPr>
        <w:t xml:space="preserve">"Ap"</w:t>
      </w:r>
      <w:r>
        <w:rPr>
          <w:rStyle w:val="NormalTok"/>
        </w:rPr>
        <w:t xml:space="preserve">].astype(</w:t>
      </w:r>
      <w:r>
        <w:rPr>
          <w:rStyle w:val="BuiltInTok"/>
        </w:rPr>
        <w:t xml:space="preserve">float</w:t>
      </w:r>
      <w:r>
        <w:rPr>
          <w:rStyle w:val="NormalTok"/>
        </w:rPr>
        <w:t xml:space="preserve">))</w:t>
      </w:r>
      <w:r>
        <w:br/>
      </w:r>
      <w:r>
        <w:rPr>
          <w:rStyle w:val="BuiltInTok"/>
        </w:rPr>
        <w:t xml:space="preserve">print</w:t>
      </w:r>
      <w:r>
        <w:rPr>
          <w:rStyle w:val="NormalTok"/>
        </w:rPr>
        <w:t xml:space="preserve">(</w:t>
      </w:r>
      <w:r>
        <w:rPr>
          <w:rStyle w:val="StringTok"/>
        </w:rPr>
        <w:t xml:space="preserve">"r(definitive, fig4 / fig5 Ap) ="</w:t>
      </w:r>
      <w:r>
        <w:rPr>
          <w:rStyle w:val="NormalTok"/>
        </w:rPr>
        <w:t xml:space="preserve">,</w:t>
      </w:r>
      <w:r>
        <w:br/>
      </w:r>
      <w:r>
        <w:rPr>
          <w:rStyle w:val="NormalTok"/>
        </w:rPr>
        <w:t xml:space="preserve">      np.corrcoef(sA_def, comp[</w:t>
      </w:r>
      <w:r>
        <w:rPr>
          <w:rStyle w:val="StringTok"/>
        </w:rPr>
        <w:t xml:space="preserve">"fig4_Ap"</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      np.corrcoef(sA_def, comp[</w:t>
      </w:r>
      <w:r>
        <w:rPr>
          <w:rStyle w:val="StringTok"/>
        </w:rPr>
        <w:t xml:space="preserve">"fig5_Ap"</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"definitive Ap component, 31 Oct: </w:t>
      </w:r>
      <w:r>
        <w:rPr>
          <w:rStyle w:val="SpecialCharTok"/>
        </w:rPr>
        <w:t xml:space="preserve">%.1f%%</w:t>
      </w:r>
      <w:r>
        <w:rPr>
          <w:rStyle w:val="StringTok"/>
        </w:rPr>
        <w:t xml:space="preserve">, rank </w:t>
      </w:r>
      <w:r>
        <w:rPr>
          <w:rStyle w:val="SpecialCharTok"/>
        </w:rPr>
        <w:t xml:space="preserve">%d</w:t>
      </w:r>
      <w:r>
        <w:rPr>
          <w:rStyle w:val="StringTok"/>
        </w:rPr>
        <w:t xml:space="preserve">/365; maxima at DOY </w:t>
      </w:r>
      <w:r>
        <w:rPr>
          <w:rStyle w:val="SpecialCharTok"/>
        </w:rPr>
        <w:t xml:space="preserve">%s</w:t>
      </w:r>
      <w:r>
        <w:rPr>
          <w:rStyle w:val="StringTok"/>
        </w:rPr>
        <w:t xml:space="preserve">"</w:t>
      </w:r>
      <w:r>
        <w:br/>
      </w:r>
      <w:r>
        <w:rPr>
          <w:rStyle w:val="NormalTok"/>
        </w:rPr>
        <w:t xml:space="preserve">      </w:t>
      </w:r>
      <w:r>
        <w:rPr>
          <w:rStyle w:val="OperatorTok"/>
        </w:rPr>
        <w:t xml:space="preserve">%</w:t>
      </w:r>
      <w:r>
        <w:rPr>
          <w:rStyle w:val="NormalTok"/>
        </w:rPr>
        <w:t xml:space="preserve"> (sA_def[H], (sA_def </w:t>
      </w:r>
      <w:r>
        <w:rPr>
          <w:rStyle w:val="OperatorTok"/>
        </w:rPr>
        <w:t xml:space="preserve">&gt;</w:t>
      </w:r>
      <w:r>
        <w:rPr>
          <w:rStyle w:val="NormalTok"/>
        </w:rPr>
        <w:t xml:space="preserve"> sA_def[H]).</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peaks(sA_def)))</w:t>
      </w:r>
      <w:r>
        <w:br/>
      </w:r>
      <w:r>
        <w:br/>
      </w:r>
      <w:r>
        <w:rPr>
          <w:rStyle w:val="CommentTok"/>
        </w:rPr>
        <w:t xml:space="preserve"># --- 3.3 / 3.4  coherence, harmonic phases, instantaneous phase, peak pairing</w:t>
      </w:r>
      <w:r>
        <w:br/>
      </w:r>
      <w:r>
        <w:rPr>
          <w:rStyle w:val="NormalTok"/>
        </w:rPr>
        <w:t xml:space="preserve">taus </w:t>
      </w:r>
      <w:r>
        <w:rPr>
          <w:rStyle w:val="OperatorTok"/>
        </w:rPr>
        <w:t xml:space="preserve">=</w:t>
      </w:r>
      <w:r>
        <w:rPr>
          <w:rStyle w:val="NormalTok"/>
        </w:rPr>
        <w:t xml:space="preserve"> np.arange(</w:t>
      </w:r>
      <w:r>
        <w:rPr>
          <w:rStyle w:val="OperatorTok"/>
        </w:rPr>
        <w:t xml:space="preserve">-</w:t>
      </w:r>
      <w:r>
        <w:rPr>
          <w:rStyle w:val="DecValTok"/>
        </w:rPr>
        <w:t xml:space="preserve">90</w:t>
      </w:r>
      <w:r>
        <w:rPr>
          <w:rStyle w:val="NormalTok"/>
        </w:rPr>
        <w:t xml:space="preserve">, </w:t>
      </w:r>
      <w:r>
        <w:rPr>
          <w:rStyle w:val="DecValTok"/>
        </w:rPr>
        <w:t xml:space="preserve">91</w:t>
      </w:r>
      <w:r>
        <w:rPr>
          <w:rStyle w:val="NormalTok"/>
        </w:rPr>
        <w:t xml:space="preserve">)</w:t>
      </w:r>
      <w:r>
        <w:br/>
      </w:r>
      <w:r>
        <w:rPr>
          <w:rStyle w:val="ControlFlowTok"/>
        </w:rPr>
        <w:t xml:space="preserve">for</w:t>
      </w:r>
      <w:r>
        <w:rPr>
          <w:rStyle w:val="NormalTok"/>
        </w:rPr>
        <w:t xml:space="preserve"> fig </w:t>
      </w:r>
      <w:r>
        <w:rPr>
          <w:rStyle w:val="KeywordTok"/>
        </w:rPr>
        <w:t xml:space="preserve">in</w:t>
      </w:r>
      <w:r>
        <w:rPr>
          <w:rStyle w:val="NormalTok"/>
        </w:rPr>
        <w:t xml:space="preserve"> (</w:t>
      </w:r>
      <w:r>
        <w:rPr>
          <w:rStyle w:val="StringTok"/>
        </w:rPr>
        <w:t xml:space="preserve">"fig4"</w:t>
      </w:r>
      <w:r>
        <w:rPr>
          <w:rStyle w:val="NormalTok"/>
        </w:rPr>
        <w:t xml:space="preserve">, </w:t>
      </w:r>
      <w:r>
        <w:rPr>
          <w:rStyle w:val="StringTok"/>
        </w:rPr>
        <w:t xml:space="preserve">"fig5"</w:t>
      </w:r>
      <w:r>
        <w:rPr>
          <w:rStyle w:val="NormalTok"/>
        </w:rPr>
        <w:t xml:space="preserve">):</w:t>
      </w:r>
      <w:r>
        <w:br/>
      </w:r>
      <w:r>
        <w:rPr>
          <w:rStyle w:val="NormalTok"/>
        </w:rPr>
        <w:t xml:space="preserve">    sU, sA </w:t>
      </w:r>
      <w:r>
        <w:rPr>
          <w:rStyle w:val="OperatorTok"/>
        </w:rPr>
        <w:t xml:space="preserve">=</w:t>
      </w:r>
      <w:r>
        <w:rPr>
          <w:rStyle w:val="NormalTok"/>
        </w:rPr>
        <w:t xml:space="preserve"> comp[</w:t>
      </w:r>
      <w:r>
        <w:rPr>
          <w:rStyle w:val="SpecialStringTok"/>
        </w:rPr>
        <w:t xml:space="preserve">f"</w:t>
      </w:r>
      <w:r>
        <w:rPr>
          <w:rStyle w:val="SpecialCharTok"/>
        </w:rPr>
        <w:t xml:space="preserve">{</w:t>
      </w:r>
      <w:r>
        <w:rPr>
          <w:rStyle w:val="NormalTok"/>
        </w:rPr>
        <w:t xml:space="preserve">fig</w:t>
      </w:r>
      <w:r>
        <w:rPr>
          <w:rStyle w:val="SpecialCharTok"/>
        </w:rPr>
        <w:t xml:space="preserve">}</w:t>
      </w:r>
      <w:r>
        <w:rPr>
          <w:rStyle w:val="SpecialStringTok"/>
        </w:rPr>
        <w:t xml:space="preserve">_UFO"</w:t>
      </w:r>
      <w:r>
        <w:rPr>
          <w:rStyle w:val="NormalTok"/>
        </w:rPr>
        <w:t xml:space="preserve">].values, comp[</w:t>
      </w:r>
      <w:r>
        <w:rPr>
          <w:rStyle w:val="SpecialStringTok"/>
        </w:rPr>
        <w:t xml:space="preserve">f"</w:t>
      </w:r>
      <w:r>
        <w:rPr>
          <w:rStyle w:val="SpecialCharTok"/>
        </w:rPr>
        <w:t xml:space="preserve">{</w:t>
      </w:r>
      <w:r>
        <w:rPr>
          <w:rStyle w:val="NormalTok"/>
        </w:rPr>
        <w:t xml:space="preserve">fig</w:t>
      </w:r>
      <w:r>
        <w:rPr>
          <w:rStyle w:val="SpecialCharTok"/>
        </w:rPr>
        <w:t xml:space="preserve">}</w:t>
      </w:r>
      <w:r>
        <w:rPr>
          <w:rStyle w:val="SpecialStringTok"/>
        </w:rPr>
        <w:t xml:space="preserve">_Ap"</w:t>
      </w:r>
      <w:r>
        <w:rPr>
          <w:rStyle w:val="NormalTok"/>
        </w:rPr>
        <w:t xml:space="preserve">].values</w:t>
      </w:r>
      <w:r>
        <w:br/>
      </w:r>
      <w:r>
        <w:rPr>
          <w:rStyle w:val="NormalTok"/>
        </w:rPr>
        <w:t xml:space="preserve">    C </w:t>
      </w:r>
      <w:r>
        <w:rPr>
          <w:rStyle w:val="OperatorTok"/>
        </w:rPr>
        <w:t xml:space="preserve">=</w:t>
      </w:r>
      <w:r>
        <w:rPr>
          <w:rStyle w:val="NormalTok"/>
        </w:rPr>
        <w:t xml:space="preserve"> coherence(sU, sA, taus)</w:t>
      </w:r>
      <w:r>
        <w:rPr>
          <w:rStyle w:val="OperatorTok"/>
        </w:rPr>
        <w:t xml:space="preserve">;</w:t>
      </w:r>
      <w:r>
        <w:rPr>
          <w:rStyle w:val="NormalTok"/>
        </w:rPr>
        <w:t xml:space="preserve"> i </w:t>
      </w:r>
      <w:r>
        <w:rPr>
          <w:rStyle w:val="OperatorTok"/>
        </w:rPr>
        <w:t xml:space="preserve">=</w:t>
      </w:r>
      <w:r>
        <w:rPr>
          <w:rStyle w:val="NormalTok"/>
        </w:rPr>
        <w:t xml:space="preserve"> C.argmin()</w:t>
      </w:r>
      <w:r>
        <w:br/>
      </w:r>
      <w:r>
        <w:rPr>
          <w:rStyle w:val="NormalTok"/>
        </w:rPr>
        <w:t xml:space="preserve">    AU, phU, r2U </w:t>
      </w:r>
      <w:r>
        <w:rPr>
          <w:rStyle w:val="OperatorTok"/>
        </w:rPr>
        <w:t xml:space="preserve">=</w:t>
      </w:r>
      <w:r>
        <w:rPr>
          <w:rStyle w:val="NormalTok"/>
        </w:rPr>
        <w:t xml:space="preserve"> fourier_fit(sU)</w:t>
      </w:r>
      <w:r>
        <w:rPr>
          <w:rStyle w:val="OperatorTok"/>
        </w:rPr>
        <w:t xml:space="preserve">;</w:t>
      </w:r>
      <w:r>
        <w:rPr>
          <w:rStyle w:val="NormalTok"/>
        </w:rPr>
        <w:t xml:space="preserve"> AA, phA, r2A </w:t>
      </w:r>
      <w:r>
        <w:rPr>
          <w:rStyle w:val="OperatorTok"/>
        </w:rPr>
        <w:t xml:space="preserve">=</w:t>
      </w:r>
      <w:r>
        <w:rPr>
          <w:rStyle w:val="NormalTok"/>
        </w:rPr>
        <w:t xml:space="preserve"> fourier_fit(sA)</w:t>
      </w:r>
      <w:r>
        <w:br/>
      </w:r>
      <w:r>
        <w:rPr>
          <w:rStyle w:val="NormalTok"/>
        </w:rPr>
        <w:t xml:space="preserve">    dphi </w:t>
      </w:r>
      <w:r>
        <w:rPr>
          <w:rStyle w:val="OperatorTok"/>
        </w:rPr>
        <w:t xml:space="preserve">=</w:t>
      </w:r>
      <w:r>
        <w:rPr>
          <w:rStyle w:val="NormalTok"/>
        </w:rPr>
        <w:t xml:space="preserve"> np.degrees(np.angle(np.exp(</w:t>
      </w:r>
      <w:r>
        <w:rPr>
          <w:rStyle w:val="OtherTok"/>
        </w:rPr>
        <w:t xml:space="preserve">1j</w:t>
      </w:r>
      <w:r>
        <w:rPr>
          <w:rStyle w:val="NormalTok"/>
        </w:rPr>
        <w:t xml:space="preserve"> </w:t>
      </w:r>
      <w:r>
        <w:rPr>
          <w:rStyle w:val="OperatorTok"/>
        </w:rPr>
        <w:t xml:space="preserve">*</w:t>
      </w:r>
      <w:r>
        <w:rPr>
          <w:rStyle w:val="NormalTok"/>
        </w:rPr>
        <w:t xml:space="preserve"> (phU </w:t>
      </w:r>
      <w:r>
        <w:rPr>
          <w:rStyle w:val="OperatorTok"/>
        </w:rPr>
        <w:t xml:space="preserve">-</w:t>
      </w:r>
      <w:r>
        <w:rPr>
          <w:rStyle w:val="NormalTok"/>
        </w:rPr>
        <w:t xml:space="preserve"> phA))))</w:t>
      </w:r>
      <w:r>
        <w:br/>
      </w:r>
      <w:r>
        <w:rPr>
          <w:rStyle w:val="NormalTok"/>
        </w:rPr>
        <w:t xml:space="preserve">    pA, pU </w:t>
      </w:r>
      <w:r>
        <w:rPr>
          <w:rStyle w:val="OperatorTok"/>
        </w:rPr>
        <w:t xml:space="preserve">=</w:t>
      </w:r>
      <w:r>
        <w:rPr>
          <w:rStyle w:val="NormalTok"/>
        </w:rPr>
        <w:t xml:space="preserve"> peaks(sA), peaks(sU)</w:t>
      </w:r>
      <w:r>
        <w:rPr>
          <w:rStyle w:val="OperatorTok"/>
        </w:rPr>
        <w:t xml:space="preserve">;</w:t>
      </w:r>
      <w:r>
        <w:rPr>
          <w:rStyle w:val="NormalTok"/>
        </w:rPr>
        <w:t xml:space="preserve"> lags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                  </w:t>
      </w:r>
      <w:r>
        <w:rPr>
          <w:rStyle w:val="CommentTok"/>
        </w:rPr>
        <w:t xml:space="preserve"># first UFO maximum within 45 d after each Ap maximum</w:t>
      </w:r>
      <w:r>
        <w:br/>
      </w:r>
      <w:r>
        <w:rPr>
          <w:rStyle w:val="NormalTok"/>
        </w:rPr>
        <w:t xml:space="preserve">        l </w:t>
      </w:r>
      <w:r>
        <w:rPr>
          <w:rStyle w:val="OperatorTok"/>
        </w:rPr>
        <w:t xml:space="preserve">=</w:t>
      </w:r>
      <w:r>
        <w:rPr>
          <w:rStyle w:val="NormalTok"/>
        </w:rPr>
        <w:t xml:space="preserve"> (pU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365</w:t>
      </w:r>
      <w:r>
        <w:rPr>
          <w:rStyle w:val="OperatorTok"/>
        </w:rPr>
        <w:t xml:space="preserve">;</w:t>
      </w:r>
      <w:r>
        <w:rPr>
          <w:rStyle w:val="NormalTok"/>
        </w:rPr>
        <w:t xml:space="preserve"> l </w:t>
      </w:r>
      <w:r>
        <w:rPr>
          <w:rStyle w:val="OperatorTok"/>
        </w:rPr>
        <w:t xml:space="preserve">=</w:t>
      </w:r>
      <w:r>
        <w:rPr>
          <w:rStyle w:val="NormalTok"/>
        </w:rPr>
        <w:t xml:space="preserve"> l[(l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(l </w:t>
      </w:r>
      <w:r>
        <w:rPr>
          <w:rStyle w:val="OperatorTok"/>
        </w:rPr>
        <w:t xml:space="preserve">&lt;=</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 lags.append(l.</w:t>
      </w:r>
      <w:r>
        <w:rPr>
          <w:rStyle w:val="BuiltInTok"/>
        </w:rPr>
        <w:t xml:space="preserve">min</w:t>
      </w:r>
      <w:r>
        <w:rPr>
          <w:rStyle w:val="NormalTok"/>
        </w:rPr>
        <w:t xml:space="preserve">())</w:t>
      </w:r>
      <w:r>
        <w:br/>
      </w:r>
      <w:r>
        <w:rPr>
          <w:rStyle w:val="NormalTok"/>
        </w:rPr>
        <w:t xml:space="preserve">    Rb, Z, pr </w:t>
      </w:r>
      <w:r>
        <w:rPr>
          <w:rStyle w:val="OperatorTok"/>
        </w:rPr>
        <w:t xml:space="preserve">=</w:t>
      </w:r>
      <w:r>
        <w:rPr>
          <w:rStyle w:val="NormalTok"/>
        </w:rPr>
        <w:t xml:space="preserve"> rayleigh(</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np.array(lags) </w:t>
      </w:r>
      <w:r>
        <w:rPr>
          <w:rStyle w:val="OperatorTok"/>
        </w:rPr>
        <w:t xml:space="preserve">/</w:t>
      </w:r>
      <w:r>
        <w:rPr>
          <w:rStyle w:val="NormalTok"/>
        </w:rPr>
        <w:t xml:space="preserve"> (P </w:t>
      </w:r>
      <w:r>
        <w:rPr>
          <w:rStyle w:val="OperatorTok"/>
        </w:rPr>
        <w:t xml:space="preserve">/</w:t>
      </w:r>
      <w:r>
        <w:rPr>
          <w:rStyle w:val="NormalTok"/>
        </w:rPr>
        <w:t xml:space="preserve"> N))</w:t>
      </w:r>
      <w:r>
        <w:br/>
      </w:r>
      <w:r>
        <w:rPr>
          <w:rStyle w:val="NormalTok"/>
        </w:rPr>
        <w:t xml:space="preserve">    d0 </w:t>
      </w:r>
      <w:r>
        <w:rPr>
          <w:rStyle w:val="OperatorTok"/>
        </w:rPr>
        <w:t xml:space="preserve">=</w:t>
      </w:r>
      <w:r>
        <w:rPr>
          <w:rStyle w:val="NormalTok"/>
        </w:rPr>
        <w:t xml:space="preserve"> phase(sU) </w:t>
      </w:r>
      <w:r>
        <w:rPr>
          <w:rStyle w:val="OperatorTok"/>
        </w:rPr>
        <w:t xml:space="preserve">-</w:t>
      </w:r>
      <w:r>
        <w:rPr>
          <w:rStyle w:val="NormalTok"/>
        </w:rPr>
        <w:t xml:space="preserve"> phase(sA)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fig</w:t>
      </w:r>
      <w:r>
        <w:rPr>
          <w:rStyle w:val="SpecialCharTok"/>
        </w:rPr>
        <w:t xml:space="preserve">}</w:t>
      </w:r>
      <w:r>
        <w:rPr>
          <w:rStyle w:val="SpecialStringTok"/>
        </w:rPr>
        <w:t xml:space="preserve">: R2 </w:t>
      </w:r>
      <w:r>
        <w:rPr>
          <w:rStyle w:val="SpecialCharTok"/>
        </w:rPr>
        <w:t xml:space="preserve">{</w:t>
      </w:r>
      <w:r>
        <w:rPr>
          <w:rStyle w:val="NormalTok"/>
        </w:rPr>
        <w:t xml:space="preserve">r2U</w:t>
      </w:r>
      <w:r>
        <w:rPr>
          <w:rStyle w:val="SpecialCharTok"/>
        </w:rPr>
        <w:t xml:space="preserve">:.4f}</w:t>
      </w:r>
      <w:r>
        <w:rPr>
          <w:rStyle w:val="SpecialStringTok"/>
        </w:rPr>
        <w:t xml:space="preserve">/</w:t>
      </w:r>
      <w:r>
        <w:rPr>
          <w:rStyle w:val="SpecialCharTok"/>
        </w:rPr>
        <w:t xml:space="preserve">{</w:t>
      </w:r>
      <w:r>
        <w:rPr>
          <w:rStyle w:val="NormalTok"/>
        </w:rPr>
        <w:t xml:space="preserve">r2A</w:t>
      </w:r>
      <w:r>
        <w:rPr>
          <w:rStyle w:val="SpecialCharTok"/>
        </w:rPr>
        <w:t xml:space="preserve">:.4f}</w:t>
      </w:r>
      <w:r>
        <w:rPr>
          <w:rStyle w:val="SpecialStringTok"/>
        </w:rPr>
        <w:t xml:space="preserve"> | C(0) </w:t>
      </w:r>
      <w:r>
        <w:rPr>
          <w:rStyle w:val="SpecialCharTok"/>
        </w:rPr>
        <w:t xml:space="preserve">{</w:t>
      </w:r>
      <w:r>
        <w:rPr>
          <w:rStyle w:val="NormalTok"/>
        </w:rPr>
        <w:t xml:space="preserve">C[taus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:+.2f}</w:t>
      </w:r>
      <w:r>
        <w:rPr>
          <w:rStyle w:val="SpecialStringTok"/>
        </w:rPr>
        <w:t xml:space="preserve"> | "</w:t>
      </w:r>
      <w:r>
        <w:br/>
      </w:r>
      <w:r>
        <w:rPr>
          <w:rStyle w:val="NormalTok"/>
        </w:rPr>
        <w:t xml:space="preserve">          </w:t>
      </w:r>
      <w:r>
        <w:rPr>
          <w:rStyle w:val="SpecialStringTok"/>
        </w:rPr>
        <w:t xml:space="preserve">f"min C </w:t>
      </w:r>
      <w:r>
        <w:rPr>
          <w:rStyle w:val="SpecialCharTok"/>
        </w:rPr>
        <w:t xml:space="preserve">{</w:t>
      </w:r>
      <w:r>
        <w:rPr>
          <w:rStyle w:val="NormalTok"/>
        </w:rPr>
        <w:t xml:space="preserve">C[i]</w:t>
      </w:r>
      <w:r>
        <w:rPr>
          <w:rStyle w:val="SpecialCharTok"/>
        </w:rPr>
        <w:t xml:space="preserve">:+.2f}</w:t>
      </w:r>
      <w:r>
        <w:rPr>
          <w:rStyle w:val="SpecialStringTok"/>
        </w:rPr>
        <w:t xml:space="preserve"> at tau </w:t>
      </w:r>
      <w:r>
        <w:rPr>
          <w:rStyle w:val="SpecialCharTok"/>
        </w:rPr>
        <w:t xml:space="preserve">{</w:t>
      </w:r>
      <w:r>
        <w:rPr>
          <w:rStyle w:val="NormalTok"/>
        </w:rPr>
        <w:t xml:space="preserve">taus[i]</w:t>
      </w:r>
      <w:r>
        <w:rPr>
          <w:rStyle w:val="SpecialCharTok"/>
        </w:rPr>
        <w:t xml:space="preserve">:+d}</w:t>
      </w:r>
      <w:r>
        <w:rPr>
          <w:rStyle w:val="SpecialStringTok"/>
        </w:rPr>
        <w:t xml:space="preserve"> d | dphi(n=2) </w:t>
      </w:r>
      <w:r>
        <w:rPr>
          <w:rStyle w:val="SpecialCharTok"/>
        </w:rPr>
        <w:t xml:space="preserve">{</w:t>
      </w:r>
      <w:r>
        <w:rPr>
          <w:rStyle w:val="NormalTok"/>
        </w:rPr>
        <w:t xml:space="preserve">dphi[</w:t>
      </w:r>
      <w:r>
        <w:rPr>
          <w:rStyle w:val="DecValTok"/>
        </w:rPr>
        <w:t xml:space="preserve">1</w:t>
      </w:r>
      <w:r>
        <w:rPr>
          <w:rStyle w:val="NormalTok"/>
        </w:rPr>
        <w:t xml:space="preserve">]</w:t>
      </w:r>
      <w:r>
        <w:rPr>
          <w:rStyle w:val="SpecialCharTok"/>
        </w:rPr>
        <w:t xml:space="preserve">:+.0f}</w:t>
      </w:r>
      <w:r>
        <w:rPr>
          <w:rStyle w:val="SpecialStringTok"/>
        </w:rPr>
        <w:t xml:space="preserve"> deg | "</w:t>
      </w:r>
      <w:r>
        <w:br/>
      </w:r>
      <w:r>
        <w:rPr>
          <w:rStyle w:val="NormalTok"/>
        </w:rPr>
        <w:t xml:space="preserve">          </w:t>
      </w:r>
      <w:r>
        <w:rPr>
          <w:rStyle w:val="SpecialStringTok"/>
        </w:rPr>
        <w:t xml:space="preserve">f"PLV(0) </w:t>
      </w:r>
      <w:r>
        <w:rPr>
          <w:rStyle w:val="SpecialCharTok"/>
        </w:rPr>
        <w:t xml:space="preserve">{</w:t>
      </w:r>
      <w:r>
        <w:rPr>
          <w:rStyle w:val="BuiltInTok"/>
        </w:rPr>
        <w:t xml:space="preserve">abs</w:t>
      </w:r>
      <w:r>
        <w:rPr>
          <w:rStyle w:val="NormalTok"/>
        </w:rPr>
        <w:t xml:space="preserve">(np.exp(</w:t>
      </w:r>
      <w:r>
        <w:rPr>
          <w:rStyle w:val="OtherTok"/>
        </w:rPr>
        <w:t xml:space="preserve">1j</w:t>
      </w:r>
      <w:r>
        <w:rPr>
          <w:rStyle w:val="NormalTok"/>
        </w:rPr>
        <w:t xml:space="preserve"> </w:t>
      </w:r>
      <w:r>
        <w:rPr>
          <w:rStyle w:val="OperatorTok"/>
        </w:rPr>
        <w:t xml:space="preserve">*</w:t>
      </w:r>
      <w:r>
        <w:rPr>
          <w:rStyle w:val="NormalTok"/>
        </w:rPr>
        <w:t xml:space="preserve"> d0).mean())</w:t>
      </w:r>
      <w:r>
        <w:rPr>
          <w:rStyle w:val="SpecialCharTok"/>
        </w:rPr>
        <w:t xml:space="preserve">:.2f}</w:t>
      </w:r>
      <w:r>
        <w:rPr>
          <w:rStyle w:val="SpecialStringTok"/>
        </w:rPr>
        <w:t xml:space="preserve">, "</w:t>
      </w:r>
      <w:r>
        <w:br/>
      </w:r>
      <w:r>
        <w:rPr>
          <w:rStyle w:val="NormalTok"/>
        </w:rPr>
        <w:t xml:space="preserve">          </w:t>
      </w:r>
      <w:r>
        <w:rPr>
          <w:rStyle w:val="SpecialStringTok"/>
        </w:rPr>
        <w:t xml:space="preserve">f"mean dphi </w:t>
      </w:r>
      <w:r>
        <w:rPr>
          <w:rStyle w:val="SpecialCharTok"/>
        </w:rPr>
        <w:t xml:space="preserve">{</w:t>
      </w:r>
      <w:r>
        <w:rPr>
          <w:rStyle w:val="NormalTok"/>
        </w:rPr>
        <w:t xml:space="preserve">np</w:t>
      </w:r>
      <w:r>
        <w:rPr>
          <w:rStyle w:val="SpecialCharTok"/>
        </w:rPr>
        <w:t xml:space="preserve">.</w:t>
      </w:r>
      <w:r>
        <w:rPr>
          <w:rStyle w:val="NormalTok"/>
        </w:rPr>
        <w:t xml:space="preserve">degrees(np.angle(np.exp(</w:t>
      </w:r>
      <w:r>
        <w:rPr>
          <w:rStyle w:val="OtherTok"/>
        </w:rPr>
        <w:t xml:space="preserve">1j</w:t>
      </w:r>
      <w:r>
        <w:rPr>
          <w:rStyle w:val="NormalTok"/>
        </w:rPr>
        <w:t xml:space="preserve"> </w:t>
      </w:r>
      <w:r>
        <w:rPr>
          <w:rStyle w:val="OperatorTok"/>
        </w:rPr>
        <w:t xml:space="preserve">*</w:t>
      </w:r>
      <w:r>
        <w:rPr>
          <w:rStyle w:val="NormalTok"/>
        </w:rPr>
        <w:t xml:space="preserve"> d0).mean()))</w:t>
      </w:r>
      <w:r>
        <w:rPr>
          <w:rStyle w:val="SpecialCharTok"/>
        </w:rPr>
        <w:t xml:space="preserve">:+.0f}</w:t>
      </w:r>
      <w:r>
        <w:rPr>
          <w:rStyle w:val="SpecialStringTok"/>
        </w:rPr>
        <w:t xml:space="preserve"> deg | "</w:t>
      </w:r>
      <w:r>
        <w:br/>
      </w:r>
      <w:r>
        <w:rPr>
          <w:rStyle w:val="NormalTok"/>
        </w:rPr>
        <w:t xml:space="preserve">          </w:t>
      </w:r>
      <w:r>
        <w:rPr>
          <w:rStyle w:val="SpecialStringTok"/>
        </w:rPr>
        <w:t xml:space="preserve">f"pairs </w:t>
      </w:r>
      <w:r>
        <w:rPr>
          <w:rStyle w:val="SpecialCharTok"/>
        </w:rPr>
        <w:t xml:space="preserve">{</w:t>
      </w:r>
      <w:r>
        <w:rPr>
          <w:rStyle w:val="BuiltInTok"/>
        </w:rPr>
        <w:t xml:space="preserve">len</w:t>
      </w:r>
      <w:r>
        <w:rPr>
          <w:rStyle w:val="NormalTok"/>
        </w:rPr>
        <w:t xml:space="preserve">(lags)</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(pA)</w:t>
      </w:r>
      <w:r>
        <w:rPr>
          <w:rStyle w:val="SpecialCharTok"/>
        </w:rPr>
        <w:t xml:space="preserve">}</w:t>
      </w:r>
      <w:r>
        <w:rPr>
          <w:rStyle w:val="SpecialStringTok"/>
        </w:rPr>
        <w:t xml:space="preserve">, lag </w:t>
      </w:r>
      <w:r>
        <w:rPr>
          <w:rStyle w:val="SpecialCharTok"/>
        </w:rPr>
        <w:t xml:space="preserve">{</w:t>
      </w:r>
      <w:r>
        <w:rPr>
          <w:rStyle w:val="NormalTok"/>
        </w:rPr>
        <w:t xml:space="preserve">np</w:t>
      </w:r>
      <w:r>
        <w:rPr>
          <w:rStyle w:val="SpecialCharTok"/>
        </w:rPr>
        <w:t xml:space="preserve">.</w:t>
      </w:r>
      <w:r>
        <w:rPr>
          <w:rStyle w:val="NormalTok"/>
        </w:rPr>
        <w:t xml:space="preserve">mean(lags)</w:t>
      </w:r>
      <w:r>
        <w:rPr>
          <w:rStyle w:val="SpecialCharTok"/>
        </w:rPr>
        <w:t xml:space="preserve">:.1f}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NormalTok"/>
        </w:rPr>
        <w:t xml:space="preserve">std(lags, ddof</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 d, Rayleigh p </w:t>
      </w:r>
      <w:r>
        <w:rPr>
          <w:rStyle w:val="SpecialCharTok"/>
        </w:rPr>
        <w:t xml:space="preserve">{</w:t>
      </w:r>
      <w:r>
        <w:rPr>
          <w:rStyle w:val="NormalTok"/>
        </w:rPr>
        <w:t xml:space="preserve">pr</w:t>
      </w:r>
      <w:r>
        <w:rPr>
          <w:rStyle w:val="SpecialCharTok"/>
        </w:rPr>
        <w:t xml:space="preserve">:.2f}</w:t>
      </w:r>
      <w:r>
        <w:rPr>
          <w:rStyle w:val="SpecialStringTok"/>
        </w:rPr>
        <w:t xml:space="preserve"> | "</w:t>
      </w:r>
      <w:r>
        <w:br/>
      </w:r>
      <w:r>
        <w:rPr>
          <w:rStyle w:val="NormalTok"/>
        </w:rPr>
        <w:t xml:space="preserve">          </w:t>
      </w:r>
      <w:r>
        <w:rPr>
          <w:rStyle w:val="SpecialStringTok"/>
        </w:rPr>
        <w:t xml:space="preserve">f"Ap max nearest 31 Oct: DOY </w:t>
      </w:r>
      <w:r>
        <w:rPr>
          <w:rStyle w:val="SpecialCharTok"/>
        </w:rPr>
        <w:t xml:space="preserve">{</w:t>
      </w:r>
      <w:r>
        <w:rPr>
          <w:rStyle w:val="NormalTok"/>
        </w:rPr>
        <w:t xml:space="preserve">pA[np.argmin(np.</w:t>
      </w:r>
      <w:r>
        <w:rPr>
          <w:rStyle w:val="BuiltInTok"/>
        </w:rPr>
        <w:t xml:space="preserve">abs</w:t>
      </w:r>
      <w:r>
        <w:rPr>
          <w:rStyle w:val="NormalTok"/>
        </w:rPr>
        <w:t xml:space="preserve">((pA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182</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DecValTok"/>
        </w:rPr>
        <w:t xml:space="preserve">182</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--- 3.2  climatology of Ap on the festival</w:t>
      </w:r>
      <w:r>
        <w:br/>
      </w:r>
      <w:r>
        <w:rPr>
          <w:rStyle w:val="KeywordTok"/>
        </w:rPr>
        <w:t xml:space="preserve">def</w:t>
      </w:r>
      <w:r>
        <w:rPr>
          <w:rStyle w:val="NormalTok"/>
        </w:rPr>
        <w:t xml:space="preserve"> clim(df):</w:t>
      </w:r>
      <w:r>
        <w:br/>
      </w:r>
      <w:r>
        <w:rPr>
          <w:rStyle w:val="NormalTok"/>
        </w:rPr>
        <w:t xml:space="preserve">    d </w:t>
      </w:r>
      <w:r>
        <w:rPr>
          <w:rStyle w:val="OperatorTok"/>
        </w:rPr>
        <w:t xml:space="preserve">=</w:t>
      </w:r>
      <w:r>
        <w:rPr>
          <w:rStyle w:val="NormalTok"/>
        </w:rPr>
        <w:t xml:space="preserve"> df.index.dayofyear.values </w:t>
      </w:r>
      <w:r>
        <w:rPr>
          <w:rStyle w:val="OperatorTok"/>
        </w:rPr>
        <w:t xml:space="preserve">-</w:t>
      </w:r>
      <w:r>
        <w:rPr>
          <w:rStyle w:val="NormalTok"/>
        </w:rPr>
        <w:t xml:space="preserve"> </w:t>
      </w:r>
      <w:r>
        <w:rPr>
          <w:rStyle w:val="DecValTok"/>
        </w:rPr>
        <w:t xml:space="preserve">1</w:t>
      </w:r>
      <w:r>
        <w:br/>
      </w:r>
      <w:r>
        <w:rPr>
          <w:rStyle w:val="NormalTok"/>
        </w:rPr>
        <w:t xml:space="preserve">    d </w:t>
      </w:r>
      <w:r>
        <w:rPr>
          <w:rStyle w:val="OperatorTok"/>
        </w:rPr>
        <w:t xml:space="preserve">=</w:t>
      </w:r>
      <w:r>
        <w:rPr>
          <w:rStyle w:val="NormalTok"/>
        </w:rPr>
        <w:t xml:space="preserve"> np.where(np.asarray(df.index.is_leap_year) </w:t>
      </w:r>
      <w:r>
        <w:rPr>
          <w:rStyle w:val="OperatorTok"/>
        </w:rPr>
        <w:t xml:space="preserve">&amp;</w:t>
      </w:r>
      <w:r>
        <w:rPr>
          <w:rStyle w:val="NormalTok"/>
        </w:rPr>
        <w:t xml:space="preserve"> (d </w:t>
      </w:r>
      <w:r>
        <w:rPr>
          <w:rStyle w:val="OperatorTok"/>
        </w:rPr>
        <w:t xml:space="preserve">&gt;=</w:t>
      </w:r>
      <w:r>
        <w:rPr>
          <w:rStyle w:val="NormalTok"/>
        </w:rPr>
        <w:t xml:space="preserve"> </w:t>
      </w:r>
      <w:r>
        <w:rPr>
          <w:rStyle w:val="DecValTok"/>
        </w:rPr>
        <w:t xml:space="preserve">59</w:t>
      </w:r>
      <w:r>
        <w:rPr>
          <w:rStyle w:val="NormalTok"/>
        </w:rPr>
        <w:t xml:space="preserve">), d </w:t>
      </w:r>
      <w:r>
        <w:rPr>
          <w:rStyle w:val="OperatorTok"/>
        </w:rPr>
        <w:t xml:space="preserve">-</w:t>
      </w:r>
      <w:r>
        <w:rPr>
          <w:rStyle w:val="NormalTok"/>
        </w:rPr>
        <w:t xml:space="preserve"> </w:t>
      </w:r>
      <w:r>
        <w:rPr>
          <w:rStyle w:val="DecValTok"/>
        </w:rPr>
        <w:t xml:space="preserve">1</w:t>
      </w:r>
      <w:r>
        <w:rPr>
          <w:rStyle w:val="NormalTok"/>
        </w:rPr>
        <w:t xml:space="preserve">, d)</w:t>
      </w:r>
      <w:r>
        <w:br/>
      </w:r>
      <w:r>
        <w:rPr>
          <w:rStyle w:val="NormalTok"/>
        </w:rPr>
        <w:t xml:space="preserve">    </w:t>
      </w:r>
      <w:r>
        <w:rPr>
          <w:rStyle w:val="ControlFlowTok"/>
        </w:rPr>
        <w:t xml:space="preserve">return</w:t>
      </w:r>
      <w:r>
        <w:rPr>
          <w:rStyle w:val="NormalTok"/>
        </w:rPr>
        <w:t xml:space="preserve"> df[</w:t>
      </w:r>
      <w:r>
        <w:rPr>
          <w:rStyle w:val="StringTok"/>
        </w:rPr>
        <w:t xml:space="preserve">"Ap"</w:t>
      </w:r>
      <w:r>
        <w:rPr>
          <w:rStyle w:val="NormalTok"/>
        </w:rPr>
        <w:t xml:space="preserve">].groupby(d).mean().reindex(</w:t>
      </w:r>
      <w:r>
        <w:rPr>
          <w:rStyle w:val="BuiltInTok"/>
        </w:rPr>
        <w:t xml:space="preserve">range</w:t>
      </w:r>
      <w:r>
        <w:rPr>
          <w:rStyle w:val="NormalTok"/>
        </w:rPr>
        <w:t xml:space="preserve">(</w:t>
      </w:r>
      <w:r>
        <w:rPr>
          <w:rStyle w:val="DecValTok"/>
        </w:rPr>
        <w:t xml:space="preserve">365</w:t>
      </w:r>
      <w:r>
        <w:rPr>
          <w:rStyle w:val="NormalTok"/>
        </w:rPr>
        <w:t xml:space="preserve">)).values</w:t>
      </w:r>
      <w:r>
        <w:br/>
      </w:r>
      <w:r>
        <w:rPr>
          <w:rStyle w:val="NormalTok"/>
        </w:rPr>
        <w:t xml:space="preserve">windows </w:t>
      </w:r>
      <w:r>
        <w:rPr>
          <w:rStyle w:val="OperatorTok"/>
        </w:rPr>
        <w:t xml:space="preserve">=</w:t>
      </w:r>
      <w:r>
        <w:rPr>
          <w:rStyle w:val="NormalTok"/>
        </w:rPr>
        <w:t xml:space="preserve"> ((</w:t>
      </w:r>
      <w:r>
        <w:rPr>
          <w:rStyle w:val="StringTok"/>
        </w:rPr>
        <w:t xml:space="preserve">"2004-2021"</w:t>
      </w:r>
      <w:r>
        <w:rPr>
          <w:rStyle w:val="NormalTok"/>
        </w:rPr>
        <w:t xml:space="preserve">, kp.loc[</w:t>
      </w:r>
      <w:r>
        <w:rPr>
          <w:rStyle w:val="StringTok"/>
        </w:rPr>
        <w:t xml:space="preserve">"2004-01-01"</w:t>
      </w:r>
      <w:r>
        <w:rPr>
          <w:rStyle w:val="NormalTok"/>
        </w:rPr>
        <w:t xml:space="preserve">:</w:t>
      </w:r>
      <w:r>
        <w:rPr>
          <w:rStyle w:val="StringTok"/>
        </w:rPr>
        <w:t xml:space="preserve">"2021-09-30"</w:t>
      </w:r>
      <w:r>
        <w:rPr>
          <w:rStyle w:val="NormalTok"/>
        </w:rPr>
        <w:t xml:space="preserve">]), (</w:t>
      </w:r>
      <w:r>
        <w:rPr>
          <w:rStyle w:val="StringTok"/>
        </w:rPr>
        <w:t xml:space="preserve">"1957-2025"</w:t>
      </w:r>
      <w:r>
        <w:rPr>
          <w:rStyle w:val="NormalTok"/>
        </w:rPr>
        <w:t xml:space="preserve">, kp),</w:t>
      </w:r>
      <w:r>
        <w:br/>
      </w:r>
      <w:r>
        <w:rPr>
          <w:rStyle w:val="NormalTok"/>
        </w:rPr>
        <w:t xml:space="preserve">           (</w:t>
      </w:r>
      <w:r>
        <w:rPr>
          <w:rStyle w:val="StringTok"/>
        </w:rPr>
        <w:t xml:space="preserve">"excl. 2003"</w:t>
      </w:r>
      <w:r>
        <w:rPr>
          <w:rStyle w:val="NormalTok"/>
        </w:rPr>
        <w:t xml:space="preserve">, kp[kp.index.year </w:t>
      </w:r>
      <w:r>
        <w:rPr>
          <w:rStyle w:val="OperatorTok"/>
        </w:rPr>
        <w:t xml:space="preserve">!=</w:t>
      </w:r>
      <w:r>
        <w:rPr>
          <w:rStyle w:val="NormalTok"/>
        </w:rPr>
        <w:t xml:space="preserve"> </w:t>
      </w:r>
      <w:r>
        <w:rPr>
          <w:rStyle w:val="DecValTok"/>
        </w:rPr>
        <w:t xml:space="preserve">2003</w:t>
      </w:r>
      <w:r>
        <w:rPr>
          <w:rStyle w:val="NormalTok"/>
        </w:rPr>
        <w:t xml:space="preserve">]))</w:t>
      </w:r>
      <w:r>
        <w:br/>
      </w:r>
      <w:r>
        <w:rPr>
          <w:rStyle w:val="ControlFlowTok"/>
        </w:rPr>
        <w:t xml:space="preserve">for</w:t>
      </w:r>
      <w:r>
        <w:rPr>
          <w:rStyle w:val="NormalTok"/>
        </w:rPr>
        <w:t xml:space="preserve"> lab, df </w:t>
      </w:r>
      <w:r>
        <w:rPr>
          <w:rStyle w:val="KeywordTok"/>
        </w:rPr>
        <w:t xml:space="preserve">in</w:t>
      </w:r>
      <w:r>
        <w:rPr>
          <w:rStyle w:val="NormalTok"/>
        </w:rPr>
        <w:t xml:space="preserve"> windows:</w:t>
      </w:r>
      <w:r>
        <w:br/>
      </w:r>
      <w:r>
        <w:rPr>
          <w:rStyle w:val="NormalTok"/>
        </w:rPr>
        <w:t xml:space="preserve">    c </w:t>
      </w:r>
      <w:r>
        <w:rPr>
          <w:rStyle w:val="OperatorTok"/>
        </w:rPr>
        <w:t xml:space="preserve">=</w:t>
      </w:r>
      <w:r>
        <w:rPr>
          <w:rStyle w:val="NormalTok"/>
        </w:rPr>
        <w:t xml:space="preserve"> clim(df)</w:t>
      </w:r>
      <w:r>
        <w:rPr>
          <w:rStyle w:val="OperatorTok"/>
        </w:rPr>
        <w:t xml:space="preserve">;</w:t>
      </w:r>
      <w:r>
        <w:rPr>
          <w:rStyle w:val="NormalTok"/>
        </w:rPr>
        <w:t xml:space="preserve"> 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KeywordTok"/>
        </w:rPr>
        <w:t xml:space="preserve">lambda</w:t>
      </w:r>
      <w:r>
        <w:rPr>
          <w:rStyle w:val="NormalTok"/>
        </w:rPr>
        <w:t xml:space="preserve"> s: np.mean([c[(s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365</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Operato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pW </w:t>
      </w:r>
      <w:r>
        <w:rPr>
          <w:rStyle w:val="OperatorTok"/>
        </w:rPr>
        <w:t xml:space="preserve">=</w:t>
      </w:r>
      <w:r>
        <w:rPr>
          <w:rStyle w:val="NormalTok"/>
        </w:rPr>
        <w:t xml:space="preserve"> np.mean([w(s) </w:t>
      </w:r>
      <w:r>
        <w:rPr>
          <w:rStyle w:val="OperatorTok"/>
        </w:rPr>
        <w:t xml:space="preserve">&gt;=</w:t>
      </w:r>
      <w:r>
        <w:rPr>
          <w:rStyle w:val="NormalTok"/>
        </w:rPr>
        <w:t xml:space="preserve"> w(H) </w:t>
      </w:r>
      <w:r>
        <w:rPr>
          <w:rStyle w:val="ControlFlowTok"/>
        </w:rPr>
        <w:t xml:space="preserve">for</w:t>
      </w:r>
      <w:r>
        <w:rPr>
          <w:rStyle w:val="NormalTok"/>
        </w:rPr>
        <w:t xml:space="preserve"> s </w:t>
      </w:r>
      <w:r>
        <w:rPr>
          <w:rStyle w:val="KeywordTok"/>
        </w:rPr>
        <w:t xml:space="preserve">in</w:t>
      </w:r>
      <w:r>
        <w:rPr>
          <w:rStyle w:val="NormalTok"/>
        </w:rPr>
        <w:t xml:space="preserve"> rng.integers(</w:t>
      </w:r>
      <w:r>
        <w:rPr>
          <w:rStyle w:val="DecValTok"/>
        </w:rPr>
        <w:t xml:space="preserve">0</w:t>
      </w:r>
      <w:r>
        <w:rPr>
          <w:rStyle w:val="NormalTok"/>
        </w:rPr>
        <w:t xml:space="preserve">, </w:t>
      </w:r>
      <w:r>
        <w:rPr>
          <w:rStyle w:val="DecValTok"/>
        </w:rPr>
        <w:t xml:space="preserve">365</w:t>
      </w:r>
      <w:r>
        <w:rPr>
          <w:rStyle w:val="NormalTok"/>
        </w:rPr>
        <w:t xml:space="preserve">, </w:t>
      </w:r>
      <w:r>
        <w:rPr>
          <w:rStyle w:val="DecValTok"/>
        </w:rPr>
        <w:t xml:space="preserve">20000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f"climatology </w:t>
      </w:r>
      <w:r>
        <w:rPr>
          <w:rStyle w:val="SpecialCharTok"/>
        </w:rPr>
        <w:t xml:space="preserve">{</w:t>
      </w:r>
      <w:r>
        <w:rPr>
          <w:rStyle w:val="NormalTok"/>
        </w:rPr>
        <w:t xml:space="preserve">lab</w:t>
      </w:r>
      <w:r>
        <w:rPr>
          <w:rStyle w:val="SpecialCharTok"/>
        </w:rPr>
        <w:t xml:space="preserve">}</w:t>
      </w:r>
      <w:r>
        <w:rPr>
          <w:rStyle w:val="SpecialStringTok"/>
        </w:rPr>
        <w:t xml:space="preserve">: Ap(31 Oct) </w:t>
      </w:r>
      <w:r>
        <w:rPr>
          <w:rStyle w:val="SpecialCharTok"/>
        </w:rPr>
        <w:t xml:space="preserve">{</w:t>
      </w:r>
      <w:r>
        <w:rPr>
          <w:rStyle w:val="NormalTok"/>
        </w:rPr>
        <w:t xml:space="preserve">c[H]</w:t>
      </w:r>
      <w:r>
        <w:rPr>
          <w:rStyle w:val="SpecialCharTok"/>
        </w:rPr>
        <w:t xml:space="preserve">:.1f}</w:t>
      </w:r>
      <w:r>
        <w:rPr>
          <w:rStyle w:val="SpecialStringTok"/>
        </w:rPr>
        <w:t xml:space="preserve"> vs mean </w:t>
      </w:r>
      <w:r>
        <w:rPr>
          <w:rStyle w:val="SpecialCharTok"/>
        </w:rPr>
        <w:t xml:space="preserve">{</w:t>
      </w:r>
      <w:r>
        <w:rPr>
          <w:rStyle w:val="NormalTok"/>
        </w:rPr>
        <w:t xml:space="preserve">df[</w:t>
      </w:r>
      <w:r>
        <w:rPr>
          <w:rStyle w:val="StringTok"/>
        </w:rPr>
        <w:t xml:space="preserve">'Ap'</w:t>
      </w:r>
      <w:r>
        <w:rPr>
          <w:rStyle w:val="NormalTok"/>
        </w:rPr>
        <w:t xml:space="preserve">]</w:t>
      </w:r>
      <w:r>
        <w:rPr>
          <w:rStyle w:val="SpecialCharTok"/>
        </w:rPr>
        <w:t xml:space="preserve">.</w:t>
      </w:r>
      <w:r>
        <w:rPr>
          <w:rStyle w:val="NormalTok"/>
        </w:rPr>
        <w:t xml:space="preserve">mean()</w:t>
      </w:r>
      <w:r>
        <w:rPr>
          <w:rStyle w:val="SpecialCharTok"/>
        </w:rPr>
        <w:t xml:space="preserve">:.1f}</w:t>
      </w:r>
      <w:r>
        <w:rPr>
          <w:rStyle w:val="SpecialStringTok"/>
        </w:rPr>
        <w:t xml:space="preserve">, "</w:t>
      </w:r>
      <w:r>
        <w:br/>
      </w:r>
      <w:r>
        <w:rPr>
          <w:rStyle w:val="NormalTok"/>
        </w:rPr>
        <w:t xml:space="preserve">          </w:t>
      </w:r>
      <w:r>
        <w:rPr>
          <w:rStyle w:val="SpecialStringTok"/>
        </w:rPr>
        <w:t xml:space="preserve">f"percentile </w:t>
      </w:r>
      <w:r>
        <w:rPr>
          <w:rStyle w:val="SpecialCharTok"/>
        </w:rPr>
        <w:t xml:space="preserve">{</w:t>
      </w:r>
      <w:r>
        <w:rPr>
          <w:rStyle w:val="DecValTok"/>
        </w:rPr>
        <w:t xml:space="preserve">100</w:t>
      </w:r>
      <w:r>
        <w:rPr>
          <w:rStyle w:val="NormalTok"/>
        </w:rPr>
        <w:t xml:space="preserve"> </w:t>
      </w:r>
      <w:r>
        <w:rPr>
          <w:rStyle w:val="OperatorTok"/>
        </w:rPr>
        <w:t xml:space="preserve">*</w:t>
      </w:r>
      <w:r>
        <w:rPr>
          <w:rStyle w:val="NormalTok"/>
        </w:rPr>
        <w:t xml:space="preserve"> (c </w:t>
      </w:r>
      <w:r>
        <w:rPr>
          <w:rStyle w:val="OperatorTok"/>
        </w:rPr>
        <w:t xml:space="preserve">&lt;</w:t>
      </w:r>
      <w:r>
        <w:rPr>
          <w:rStyle w:val="NormalTok"/>
        </w:rPr>
        <w:t xml:space="preserve"> c[H])</w:t>
      </w:r>
      <w:r>
        <w:rPr>
          <w:rStyle w:val="SpecialCharTok"/>
        </w:rPr>
        <w:t xml:space="preserve">.</w:t>
      </w:r>
      <w:r>
        <w:rPr>
          <w:rStyle w:val="NormalTok"/>
        </w:rPr>
        <w:t xml:space="preserve">mean()</w:t>
      </w:r>
      <w:r>
        <w:rPr>
          <w:rStyle w:val="SpecialCharTok"/>
        </w:rPr>
        <w:t xml:space="preserve">:.0f}</w:t>
      </w:r>
      <w:r>
        <w:rPr>
          <w:rStyle w:val="SpecialStringTok"/>
        </w:rPr>
        <w:t xml:space="preserve">, window 29 Oct-2 Nov perm. p </w:t>
      </w:r>
      <w:r>
        <w:rPr>
          <w:rStyle w:val="SpecialCharTok"/>
        </w:rPr>
        <w:t xml:space="preserve">{</w:t>
      </w:r>
      <w:r>
        <w:rPr>
          <w:rStyle w:val="NormalTok"/>
        </w:rPr>
        <w:t xml:space="preserve">pW</w:t>
      </w:r>
      <w:r>
        <w:rPr>
          <w:rStyle w:val="SpecialCharTok"/>
        </w:rPr>
        <w:t xml:space="preserve">:.3f}</w:t>
      </w:r>
      <w:r>
        <w:rPr>
          <w:rStyle w:val="SpecialStringTok"/>
        </w:rPr>
        <w:t xml:space="preserve">"</w:t>
      </w:r>
      <w:r>
        <w:rPr>
          <w:rStyle w:val="NormalTok"/>
        </w:rPr>
        <w:t xml:space="preserve">)</w:t>
      </w:r>
      <w:r>
        <w:br/>
      </w:r>
      <w:r>
        <w:br/>
      </w:r>
      <w:r>
        <w:rPr>
          <w:rStyle w:val="CommentTok"/>
        </w:rPr>
        <w:t xml:space="preserve"># --- 3.5  event window: 3-hourly ap (UT) against the hourly search index (UTC+3 -&gt; UT)</w:t>
      </w:r>
      <w:r>
        <w:br/>
      </w:r>
      <w:r>
        <w:rPr>
          <w:rStyle w:val="NormalTok"/>
        </w:rPr>
        <w:t xml:space="preserve">ev </w:t>
      </w:r>
      <w:r>
        <w:rPr>
          <w:rStyle w:val="OperatorTok"/>
        </w:rPr>
        <w:t xml:space="preserve">=</w:t>
      </w:r>
      <w:r>
        <w:rPr>
          <w:rStyle w:val="NormalTok"/>
        </w:rPr>
        <w:t xml:space="preserve"> kp.loc[</w:t>
      </w:r>
      <w:r>
        <w:rPr>
          <w:rStyle w:val="StringTok"/>
        </w:rPr>
        <w:t xml:space="preserve">"2021-10-25"</w:t>
      </w:r>
      <w:r>
        <w:rPr>
          <w:rStyle w:val="NormalTok"/>
        </w:rPr>
        <w:t xml:space="preserve">:</w:t>
      </w:r>
      <w:r>
        <w:rPr>
          <w:rStyle w:val="StringTok"/>
        </w:rPr>
        <w:t xml:space="preserve">"2021-11-01"</w:t>
      </w:r>
      <w:r>
        <w:rPr>
          <w:rStyle w:val="NormalTok"/>
        </w:rPr>
        <w:t xml:space="preserve">]</w:t>
      </w:r>
      <w:r>
        <w:rPr>
          <w:rStyle w:val="OperatorTok"/>
        </w:rPr>
        <w:t xml:space="preserve">;</w:t>
      </w:r>
      <w:r>
        <w:rPr>
          <w:rStyle w:val="NormalTok"/>
        </w:rPr>
        <w:t xml:space="preserve"> rows </w:t>
      </w:r>
      <w:r>
        <w:rPr>
          <w:rStyle w:val="OperatorTok"/>
        </w:rPr>
        <w:t xml:space="preserve">=</w:t>
      </w:r>
      <w:r>
        <w:rPr>
          <w:rStyle w:val="NormalTok"/>
        </w:rPr>
        <w:t xml:space="preserve"> []</w:t>
      </w:r>
      <w:r>
        <w:br/>
      </w:r>
      <w:r>
        <w:rPr>
          <w:rStyle w:val="ControlFlowTok"/>
        </w:rPr>
        <w:t xml:space="preserve">for</w:t>
      </w:r>
      <w:r>
        <w:rPr>
          <w:rStyle w:val="NormalTok"/>
        </w:rPr>
        <w:t xml:space="preserve"> d, r </w:t>
      </w:r>
      <w:r>
        <w:rPr>
          <w:rStyle w:val="KeywordTok"/>
        </w:rPr>
        <w:t xml:space="preserve">in</w:t>
      </w:r>
      <w:r>
        <w:rPr>
          <w:rStyle w:val="NormalTok"/>
        </w:rPr>
        <w:t xml:space="preserve"> ev.iterrows():</w:t>
      </w:r>
      <w:r>
        <w:br/>
      </w:r>
      <w:r>
        <w:rPr>
          <w:rStyle w:val="NormalTok"/>
        </w:rPr>
        <w:t xml:space="preserve">    rows </w:t>
      </w:r>
      <w:r>
        <w:rPr>
          <w:rStyle w:val="OperatorTok"/>
        </w:rPr>
        <w:t xml:space="preserve">+=</w:t>
      </w:r>
      <w:r>
        <w:rPr>
          <w:rStyle w:val="NormalTok"/>
        </w:rPr>
        <w:t xml:space="preserve"> [</w:t>
      </w:r>
      <w:r>
        <w:rPr>
          <w:rStyle w:val="BuiltInTok"/>
        </w:rPr>
        <w:t xml:space="preserve">dict</w:t>
      </w:r>
      <w:r>
        <w:rPr>
          <w:rStyle w:val="NormalTok"/>
        </w:rPr>
        <w:t xml:space="preserve">(t</w:t>
      </w:r>
      <w:r>
        <w:rPr>
          <w:rStyle w:val="OperatorTok"/>
        </w:rPr>
        <w:t xml:space="preserve">=</w:t>
      </w:r>
      <w:r>
        <w:rPr>
          <w:rStyle w:val="NormalTok"/>
        </w:rPr>
        <w:t xml:space="preserve">d </w:t>
      </w:r>
      <w:r>
        <w:rPr>
          <w:rStyle w:val="OperatorTok"/>
        </w:rPr>
        <w:t xml:space="preserve">+</w:t>
      </w:r>
      <w:r>
        <w:rPr>
          <w:rStyle w:val="NormalTok"/>
        </w:rPr>
        <w:t xml:space="preserve"> pd.Timedelta(hours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i), ap</w:t>
      </w:r>
      <w:r>
        <w:rPr>
          <w:rStyle w:val="OperatorTok"/>
        </w:rPr>
        <w:t xml:space="preserve">=</w:t>
      </w:r>
      <w:r>
        <w:rPr>
          <w:rStyle w:val="NormalTok"/>
        </w:rPr>
        <w:t xml:space="preserve">r[</w:t>
      </w:r>
      <w:r>
        <w:rPr>
          <w:rStyle w:val="SpecialStringTok"/>
        </w:rPr>
        <w:t xml:space="preserve">f"ap</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Kp10</w:t>
      </w:r>
      <w:r>
        <w:rPr>
          <w:rStyle w:val="OperatorTok"/>
        </w:rPr>
        <w:t xml:space="preserve">=</w:t>
      </w:r>
      <w:r>
        <w:rPr>
          <w:rStyle w:val="NormalTok"/>
        </w:rPr>
        <w:t xml:space="preserve">r[</w:t>
      </w:r>
      <w:r>
        <w:rPr>
          <w:rStyle w:val="SpecialStringTok"/>
        </w:rPr>
        <w:t xml:space="preserve">f"Kp</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w:t>
      </w:r>
      <w:r>
        <w:br/>
      </w:r>
      <w:r>
        <w:rPr>
          <w:rStyle w:val="NormalTok"/>
        </w:rPr>
        <w:t xml:space="preserve">tab </w:t>
      </w:r>
      <w:r>
        <w:rPr>
          <w:rStyle w:val="OperatorTok"/>
        </w:rPr>
        <w:t xml:space="preserve">=</w:t>
      </w:r>
      <w:r>
        <w:rPr>
          <w:rStyle w:val="NormalTok"/>
        </w:rPr>
        <w:t xml:space="preserve"> pd.DataFrame(rows).set_index(</w:t>
      </w:r>
      <w:r>
        <w:rPr>
          <w:rStyle w:val="StringTok"/>
        </w:rPr>
        <w:t xml:space="preserve">"t"</w:t>
      </w:r>
      <w:r>
        <w:rPr>
          <w:rStyle w:val="NormalTok"/>
        </w:rPr>
        <w:t xml:space="preserve">)</w:t>
      </w:r>
      <w:r>
        <w:br/>
      </w:r>
      <w:r>
        <w:rPr>
          <w:rStyle w:val="NormalTok"/>
        </w:rPr>
        <w:t xml:space="preserve">u </w:t>
      </w:r>
      <w:r>
        <w:rPr>
          <w:rStyle w:val="OperatorTok"/>
        </w:rPr>
        <w:t xml:space="preserve">=</w:t>
      </w:r>
      <w:r>
        <w:rPr>
          <w:rStyle w:val="NormalTok"/>
        </w:rPr>
        <w:t xml:space="preserve"> tr7[</w:t>
      </w:r>
      <w:r>
        <w:rPr>
          <w:rStyle w:val="StringTok"/>
        </w:rPr>
        <w:t xml:space="preserve">"ufo_hourly"</w:t>
      </w:r>
      <w:r>
        <w:rPr>
          <w:rStyle w:val="NormalTok"/>
        </w:rPr>
        <w:t xml:space="preserve">].copy()</w:t>
      </w:r>
      <w:r>
        <w:rPr>
          <w:rStyle w:val="OperatorTok"/>
        </w:rPr>
        <w:t xml:space="preserve">;</w:t>
      </w:r>
      <w:r>
        <w:rPr>
          <w:rStyle w:val="NormalTok"/>
        </w:rPr>
        <w:t xml:space="preserve"> u.index </w:t>
      </w:r>
      <w:r>
        <w:rPr>
          <w:rStyle w:val="OperatorTok"/>
        </w:rPr>
        <w:t xml:space="preserve">=</w:t>
      </w:r>
      <w:r>
        <w:rPr>
          <w:rStyle w:val="NormalTok"/>
        </w:rPr>
        <w:t xml:space="preserve"> u.index </w:t>
      </w:r>
      <w:r>
        <w:rPr>
          <w:rStyle w:val="OperatorTok"/>
        </w:rPr>
        <w:t xml:space="preserve">-</w:t>
      </w:r>
      <w:r>
        <w:rPr>
          <w:rStyle w:val="NormalTok"/>
        </w:rPr>
        <w:t xml:space="preserve"> pd.Timedelta(hours</w:t>
      </w:r>
      <w:r>
        <w:rPr>
          <w:rStyle w:val="OperatorTok"/>
        </w:rPr>
        <w:t xml:space="preserve">=</w:t>
      </w:r>
      <w:r>
        <w:rPr>
          <w:rStyle w:val="DecValTok"/>
        </w:rPr>
        <w:t xml:space="preserve">3</w:t>
      </w:r>
      <w:r>
        <w:rPr>
          <w:rStyle w:val="NormalTok"/>
        </w:rPr>
        <w:t xml:space="preserve">)</w:t>
      </w:r>
      <w:r>
        <w:br/>
      </w:r>
      <w:r>
        <w:rPr>
          <w:rStyle w:val="NormalTok"/>
        </w:rPr>
        <w:t xml:space="preserve">both </w:t>
      </w:r>
      <w:r>
        <w:rPr>
          <w:rStyle w:val="OperatorTok"/>
        </w:rPr>
        <w:t xml:space="preserve">=</w:t>
      </w:r>
      <w:r>
        <w:rPr>
          <w:rStyle w:val="NormalTok"/>
        </w:rPr>
        <w:t xml:space="preserve"> pd.concat([tab[</w:t>
      </w:r>
      <w:r>
        <w:rPr>
          <w:rStyle w:val="StringTok"/>
        </w:rPr>
        <w:t xml:space="preserve">"ap"</w:t>
      </w:r>
      <w:r>
        <w:rPr>
          <w:rStyle w:val="NormalTok"/>
        </w:rPr>
        <w:t xml:space="preserve">], u.resample(</w:t>
      </w:r>
      <w:r>
        <w:rPr>
          <w:rStyle w:val="StringTok"/>
        </w:rPr>
        <w:t xml:space="preserve">"3h"</w:t>
      </w:r>
      <w:r>
        <w:rPr>
          <w:rStyle w:val="NormalTok"/>
        </w:rPr>
        <w:t xml:space="preserve">).mean().rename(</w:t>
      </w:r>
      <w:r>
        <w:rPr>
          <w:rStyle w:val="StringTok"/>
        </w:rPr>
        <w:t xml:space="preserve">"ufo"</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sort</w:t>
      </w:r>
      <w:r>
        <w:rPr>
          <w:rStyle w:val="OperatorTok"/>
        </w:rPr>
        <w:t xml:space="preserve">=</w:t>
      </w:r>
      <w:r>
        <w:rPr>
          <w:rStyle w:val="VariableTok"/>
        </w:rPr>
        <w:t xml:space="preserve">True</w:t>
      </w:r>
      <w:r>
        <w:rPr>
          <w:rStyle w:val="NormalTok"/>
        </w:rPr>
        <w:t xml:space="preserve">).dropna()</w:t>
      </w:r>
      <w:r>
        <w:br/>
      </w:r>
      <w:r>
        <w:rPr>
          <w:rStyle w:val="NormalTok"/>
        </w:rPr>
        <w:t xml:space="preserve">x </w:t>
      </w:r>
      <w:r>
        <w:rPr>
          <w:rStyle w:val="OperatorTok"/>
        </w:rPr>
        <w:t xml:space="preserve">=</w:t>
      </w:r>
      <w:r>
        <w:rPr>
          <w:rStyle w:val="NormalTok"/>
        </w:rPr>
        <w:t xml:space="preserve"> np.log1p(both[</w:t>
      </w:r>
      <w:r>
        <w:rPr>
          <w:rStyle w:val="StringTok"/>
        </w:rPr>
        <w:t xml:space="preserve">"ap"</w:t>
      </w:r>
      <w:r>
        <w:rPr>
          <w:rStyle w:val="NormalTok"/>
        </w:rPr>
        <w:t xml:space="preserve">].values)</w:t>
      </w:r>
      <w:r>
        <w:rPr>
          <w:rStyle w:val="OperatorTok"/>
        </w:rPr>
        <w:t xml:space="preserve">;</w:t>
      </w:r>
      <w:r>
        <w:rPr>
          <w:rStyle w:val="NormalTok"/>
        </w:rPr>
        <w:t xml:space="preserve"> y </w:t>
      </w:r>
      <w:r>
        <w:rPr>
          <w:rStyle w:val="OperatorTok"/>
        </w:rPr>
        <w:t xml:space="preserve">=</w:t>
      </w:r>
      <w:r>
        <w:rPr>
          <w:rStyle w:val="NormalTok"/>
        </w:rPr>
        <w:t xml:space="preserve"> both[</w:t>
      </w:r>
      <w:r>
        <w:rPr>
          <w:rStyle w:val="StringTok"/>
        </w:rPr>
        <w:t xml:space="preserve">"ufo"</w:t>
      </w:r>
      <w:r>
        <w:rPr>
          <w:rStyle w:val="NormalTok"/>
        </w:rPr>
        <w:t xml:space="preserve">].values</w:t>
      </w:r>
      <w:r>
        <w:br/>
      </w: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x.mean()) </w:t>
      </w:r>
      <w:r>
        <w:rPr>
          <w:rStyle w:val="OperatorTok"/>
        </w:rPr>
        <w:t xml:space="preserve">/</w:t>
      </w:r>
      <w:r>
        <w:rPr>
          <w:rStyle w:val="NormalTok"/>
        </w:rPr>
        <w:t xml:space="preserve"> x.std()</w:t>
      </w:r>
      <w:r>
        <w:rPr>
          <w:rStyle w:val="OperatorTok"/>
        </w:rPr>
        <w:t xml:space="preserve">;</w:t>
      </w:r>
      <w:r>
        <w:rPr>
          <w:rStyle w:val="NormalTok"/>
        </w:rPr>
        <w:t xml:space="preserve"> y </w:t>
      </w:r>
      <w:r>
        <w:rPr>
          <w:rStyle w:val="OperatorTok"/>
        </w:rPr>
        <w:t xml:space="preserve">=</w:t>
      </w:r>
      <w:r>
        <w:rPr>
          <w:rStyle w:val="NormalTok"/>
        </w:rPr>
        <w:t xml:space="preserve"> (y </w:t>
      </w:r>
      <w:r>
        <w:rPr>
          <w:rStyle w:val="OperatorTok"/>
        </w:rPr>
        <w:t xml:space="preserve">-</w:t>
      </w:r>
      <w:r>
        <w:rPr>
          <w:rStyle w:val="NormalTok"/>
        </w:rPr>
        <w:t xml:space="preserve"> y.mean()) </w:t>
      </w:r>
      <w:r>
        <w:rPr>
          <w:rStyle w:val="OperatorTok"/>
        </w:rPr>
        <w:t xml:space="preserve">/</w:t>
      </w:r>
      <w:r>
        <w:rPr>
          <w:rStyle w:val="NormalTok"/>
        </w:rPr>
        <w:t xml:space="preserve"> y.std()</w:t>
      </w:r>
      <w:r>
        <w:br/>
      </w:r>
      <w:r>
        <w:rPr>
          <w:rStyle w:val="NormalTok"/>
        </w:rPr>
        <w:t xml:space="preserve">cc </w:t>
      </w:r>
      <w:r>
        <w:rPr>
          <w:rStyle w:val="OperatorTok"/>
        </w:rPr>
        <w:t xml:space="preserve">=</w:t>
      </w:r>
      <w:r>
        <w:rPr>
          <w:rStyle w:val="NormalTok"/>
        </w:rPr>
        <w:t xml:space="preserve"> {l: (np.mean(x[:</w:t>
      </w:r>
      <w:r>
        <w:rPr>
          <w:rStyle w:val="BuiltInTok"/>
        </w:rPr>
        <w:t xml:space="preserve">len</w:t>
      </w:r>
      <w:r>
        <w:rPr>
          <w:rStyle w:val="NormalTok"/>
        </w:rPr>
        <w:t xml:space="preserve">(x) </w:t>
      </w:r>
      <w:r>
        <w:rPr>
          <w:rStyle w:val="OperatorTok"/>
        </w:rPr>
        <w:t xml:space="preserve">-</w:t>
      </w:r>
      <w:r>
        <w:rPr>
          <w:rStyle w:val="NormalTok"/>
        </w:rPr>
        <w:t xml:space="preserve"> l] </w:t>
      </w:r>
      <w:r>
        <w:rPr>
          <w:rStyle w:val="OperatorTok"/>
        </w:rPr>
        <w:t xml:space="preserve">*</w:t>
      </w:r>
      <w:r>
        <w:rPr>
          <w:rStyle w:val="NormalTok"/>
        </w:rPr>
        <w:t xml:space="preserve"> y[l:]) </w:t>
      </w:r>
      <w:r>
        <w:rPr>
          <w:rStyle w:val="ControlFlowTok"/>
        </w:rPr>
        <w:t xml:space="preserve">if</w:t>
      </w:r>
      <w:r>
        <w:rPr>
          <w:rStyle w:val="NormalTok"/>
        </w:rPr>
        <w:t xml:space="preserve"> 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np.mean(x[</w:t>
      </w:r>
      <w:r>
        <w:rPr>
          <w:rStyle w:val="OperatorTok"/>
        </w:rPr>
        <w:t xml:space="preserve">-</w:t>
      </w:r>
      <w:r>
        <w:rPr>
          <w:rStyle w:val="NormalTok"/>
        </w:rPr>
        <w:t xml:space="preserve">l:] </w:t>
      </w:r>
      <w:r>
        <w:rPr>
          <w:rStyle w:val="OperatorTok"/>
        </w:rPr>
        <w:t xml:space="preserve">*</w:t>
      </w:r>
      <w:r>
        <w:rPr>
          <w:rStyle w:val="NormalTok"/>
        </w:rPr>
        <w:t xml:space="preserve"> y[:</w:t>
      </w:r>
      <w:r>
        <w:rPr>
          <w:rStyle w:val="BuiltInTok"/>
        </w:rPr>
        <w:t xml:space="preserve">len</w:t>
      </w:r>
      <w:r>
        <w:rPr>
          <w:rStyle w:val="NormalTok"/>
        </w:rPr>
        <w:t xml:space="preserve">(y) </w:t>
      </w:r>
      <w:r>
        <w:rPr>
          <w:rStyle w:val="OperatorTok"/>
        </w:rPr>
        <w:t xml:space="preserve">+</w:t>
      </w:r>
      <w:r>
        <w:rPr>
          <w:rStyle w:val="NormalTok"/>
        </w:rPr>
        <w:t xml:space="preserve"> l]))</w:t>
      </w:r>
      <w:r>
        <w:br/>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w:t>
      </w:r>
      <w:r>
        <w:rPr>
          <w:rStyle w:val="BuiltInTok"/>
        </w:rPr>
        <w:t xml:space="preserve">range</w:t>
      </w:r>
      <w:r>
        <w:rPr>
          <w:rStyle w:val="NormalTok"/>
        </w:rPr>
        <w:t xml:space="preserve">(</w:t>
      </w:r>
      <w:r>
        <w:rPr>
          <w:rStyle w:val="OperatorTok"/>
        </w:rPr>
        <w:t xml:space="preserve">-</w:t>
      </w:r>
      <w:r>
        <w:rPr>
          <w:rStyle w:val="DecValTok"/>
        </w:rPr>
        <w:t xml:space="preserve">8</w:t>
      </w:r>
      <w:r>
        <w:rPr>
          <w:rStyle w:val="NormalTok"/>
        </w:rPr>
        <w:t xml:space="preserve">, </w:t>
      </w:r>
      <w:r>
        <w:rPr>
          <w:rStyle w:val="DecValTok"/>
        </w:rPr>
        <w:t xml:space="preserve">9</w:t>
      </w:r>
      <w:r>
        <w:rPr>
          <w:rStyle w:val="NormalTok"/>
        </w:rPr>
        <w:t xml:space="preserve">)}</w:t>
      </w:r>
      <w:r>
        <w:br/>
      </w:r>
      <w:r>
        <w:rPr>
          <w:rStyle w:val="BuiltInTok"/>
        </w:rPr>
        <w:t xml:space="preserve">print</w:t>
      </w:r>
      <w:r>
        <w:rPr>
          <w:rStyle w:val="NormalTok"/>
        </w:rPr>
        <w:t xml:space="preserve">(</w:t>
      </w:r>
      <w:r>
        <w:rPr>
          <w:rStyle w:val="StringTok"/>
        </w:rPr>
        <w:t xml:space="preserve">"search max (UT):"</w:t>
      </w:r>
      <w:r>
        <w:rPr>
          <w:rStyle w:val="NormalTok"/>
        </w:rPr>
        <w:t xml:space="preserve">, u.idxmax(), </w:t>
      </w:r>
      <w:r>
        <w:rPr>
          <w:rStyle w:val="StringTok"/>
        </w:rPr>
        <w:t xml:space="preserve">"| CCF max at lag"</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(cc, key</w:t>
      </w:r>
      <w:r>
        <w:rPr>
          <w:rStyle w:val="OperatorTok"/>
        </w:rPr>
        <w:t xml:space="preserve">=</w:t>
      </w:r>
      <w:r>
        <w:rPr>
          <w:rStyle w:val="NormalTok"/>
        </w:rPr>
        <w:t xml:space="preserve">cc.get),</w:t>
      </w:r>
      <w:r>
        <w:br/>
      </w:r>
      <w:r>
        <w:rPr>
          <w:rStyle w:val="NormalTok"/>
        </w:rPr>
        <w:t xml:space="preserve">      </w:t>
      </w:r>
      <w:r>
        <w:rPr>
          <w:rStyle w:val="StringTok"/>
        </w:rPr>
        <w:t xml:space="preserve">"h, r ="</w:t>
      </w:r>
      <w:r>
        <w:rPr>
          <w:rStyle w:val="NormalTok"/>
        </w:rPr>
        <w:t xml:space="preserve">, </w:t>
      </w:r>
      <w:r>
        <w:rPr>
          <w:rStyle w:val="BuiltInTok"/>
        </w:rPr>
        <w:t xml:space="preserve">round</w:t>
      </w:r>
      <w:r>
        <w:rPr>
          <w:rStyle w:val="NormalTok"/>
        </w:rPr>
        <w:t xml:space="preserve">(</w:t>
      </w:r>
      <w:r>
        <w:rPr>
          <w:rStyle w:val="BuiltInTok"/>
        </w:rPr>
        <w:t xml:space="preserve">max</w:t>
      </w:r>
      <w:r>
        <w:rPr>
          <w:rStyle w:val="NormalTok"/>
        </w:rPr>
        <w:t xml:space="preserve">(cc.values()), </w:t>
      </w:r>
      <w:r>
        <w:rPr>
          <w:rStyle w:val="DecValTok"/>
        </w:rPr>
        <w:t xml:space="preserve">3</w:t>
      </w:r>
      <w:r>
        <w:rPr>
          <w:rStyle w:val="NormalTok"/>
        </w:rPr>
        <w:t xml:space="preserve">), </w:t>
      </w:r>
      <w:r>
        <w:rPr>
          <w:rStyle w:val="StringTok"/>
        </w:rPr>
        <w:t xml:space="preserve">"| noise"</w:t>
      </w:r>
      <w:r>
        <w:rPr>
          <w:rStyle w:val="NormalTok"/>
        </w:rPr>
        <w:t xml:space="preserve">, </w:t>
      </w:r>
      <w:r>
        <w:rPr>
          <w:rStyle w:val="BuiltInTok"/>
        </w:rPr>
        <w:t xml:space="preserve">round</w:t>
      </w:r>
      <w:r>
        <w:rPr>
          <w:rStyle w:val="NormalTok"/>
        </w:rPr>
        <w:t xml:space="preserve">(</w:t>
      </w:r>
      <w:r>
        <w:rPr>
          <w:rStyle w:val="FloatTok"/>
        </w:rPr>
        <w:t xml:space="preserve">1.96</w:t>
      </w:r>
      <w:r>
        <w:rPr>
          <w:rStyle w:val="NormalTok"/>
        </w:rPr>
        <w:t xml:space="preserve"> </w:t>
      </w:r>
      <w:r>
        <w:rPr>
          <w:rStyle w:val="OperatorTok"/>
        </w:rPr>
        <w:t xml:space="preserve">/</w:t>
      </w:r>
      <w:r>
        <w:rPr>
          <w:rStyle w:val="NormalTok"/>
        </w:rPr>
        <w:t xml:space="preserve"> np.sqrt(</w:t>
      </w:r>
      <w:r>
        <w:rPr>
          <w:rStyle w:val="BuiltInTok"/>
        </w:rPr>
        <w:t xml:space="preserve">len</w:t>
      </w:r>
      <w:r>
        <w:rPr>
          <w:rStyle w:val="NormalTok"/>
        </w:rPr>
        <w:t xml:space="preserve">(x)), </w:t>
      </w:r>
      <w:r>
        <w:rPr>
          <w:rStyle w:val="DecValTok"/>
        </w:rPr>
        <w:t xml:space="preserve">3</w:t>
      </w:r>
      <w:r>
        <w:rPr>
          <w:rStyle w:val="NormalTok"/>
        </w:rPr>
        <w:t xml:space="preserve">))</w:t>
      </w:r>
      <w:r>
        <w:br/>
      </w:r>
      <w:r>
        <w:rPr>
          <w:rStyle w:val="NormalTok"/>
        </w:rPr>
        <w:t xml:space="preserve">data </w:t>
      </w:r>
      <w:r>
        <w:rPr>
          <w:rStyle w:val="OperatorTok"/>
        </w:rPr>
        <w:t xml:space="preserve">=</w:t>
      </w:r>
      <w:r>
        <w:rPr>
          <w:rStyle w:val="NormalTok"/>
        </w:rPr>
        <w:t xml:space="preserve"> pd.DataFrame({</w:t>
      </w:r>
      <w:r>
        <w:rPr>
          <w:rStyle w:val="StringTok"/>
        </w:rPr>
        <w:t xml:space="preserve">"ap"</w:t>
      </w:r>
      <w:r>
        <w:rPr>
          <w:rStyle w:val="NormalTok"/>
        </w:rPr>
        <w:t xml:space="preserve">: np.log1p(both[</w:t>
      </w:r>
      <w:r>
        <w:rPr>
          <w:rStyle w:val="StringTok"/>
        </w:rPr>
        <w:t xml:space="preserve">"ap"</w:t>
      </w:r>
      <w:r>
        <w:rPr>
          <w:rStyle w:val="NormalTok"/>
        </w:rPr>
        <w:t xml:space="preserve">].values), </w:t>
      </w:r>
      <w:r>
        <w:rPr>
          <w:rStyle w:val="StringTok"/>
        </w:rPr>
        <w:t xml:space="preserve">"ufo"</w:t>
      </w:r>
      <w:r>
        <w:rPr>
          <w:rStyle w:val="NormalTok"/>
        </w:rPr>
        <w:t xml:space="preserve">: both[</w:t>
      </w:r>
      <w:r>
        <w:rPr>
          <w:rStyle w:val="StringTok"/>
        </w:rPr>
        <w:t xml:space="preserve">"ufo"</w:t>
      </w:r>
      <w:r>
        <w:rPr>
          <w:rStyle w:val="NormalTok"/>
        </w:rPr>
        <w:t xml:space="preserve">].values},</w:t>
      </w:r>
      <w:r>
        <w:br/>
      </w:r>
      <w:r>
        <w:rPr>
          <w:rStyle w:val="NormalTok"/>
        </w:rPr>
        <w:t xml:space="preserve">                    index</w:t>
      </w:r>
      <w:r>
        <w:rPr>
          <w:rStyle w:val="OperatorTok"/>
        </w:rPr>
        <w:t xml:space="preserve">=</w:t>
      </w:r>
      <w:r>
        <w:rPr>
          <w:rStyle w:val="NormalTok"/>
        </w:rPr>
        <w:t xml:space="preserve">both.index)</w:t>
      </w:r>
      <w:r>
        <w:br/>
      </w:r>
      <w:r>
        <w:rPr>
          <w:rStyle w:val="NormalTok"/>
        </w:rPr>
        <w:t xml:space="preserve">p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int</w:t>
      </w:r>
      <w:r>
        <w:rPr>
          <w:rStyle w:val="NormalTok"/>
        </w:rPr>
        <w:t xml:space="preserve">(VAR(data).select_order(</w:t>
      </w:r>
      <w:r>
        <w:rPr>
          <w:rStyle w:val="DecValTok"/>
        </w:rPr>
        <w:t xml:space="preserve">4</w:t>
      </w:r>
      <w:r>
        <w:rPr>
          <w:rStyle w:val="NormalTok"/>
        </w:rPr>
        <w:t xml:space="preserve">).bic), </w:t>
      </w:r>
      <w:r>
        <w:rPr>
          <w:rStyle w:val="DecValTok"/>
        </w:rPr>
        <w:t xml:space="preserve">1</w:t>
      </w:r>
      <w:r>
        <w:rPr>
          <w:rStyle w:val="NormalTok"/>
        </w:rPr>
        <w:t xml:space="preserve">)</w:t>
      </w:r>
      <w:r>
        <w:rPr>
          <w:rStyle w:val="OperatorTok"/>
        </w:rPr>
        <w:t xml:space="preserve">;</w:t>
      </w:r>
      <w:r>
        <w:rPr>
          <w:rStyle w:val="NormalTok"/>
        </w:rPr>
        <w:t xml:space="preserve"> res </w:t>
      </w:r>
      <w:r>
        <w:rPr>
          <w:rStyle w:val="OperatorTok"/>
        </w:rPr>
        <w:t xml:space="preserve">=</w:t>
      </w:r>
      <w:r>
        <w:rPr>
          <w:rStyle w:val="NormalTok"/>
        </w:rPr>
        <w:t xml:space="preserve"> VAR(data).fit(p)</w:t>
      </w:r>
      <w:r>
        <w:br/>
      </w:r>
      <w:r>
        <w:rPr>
          <w:rStyle w:val="BuiltInTok"/>
        </w:rPr>
        <w:t xml:space="preserve">print</w:t>
      </w:r>
      <w:r>
        <w:rPr>
          <w:rStyle w:val="NormalTok"/>
        </w:rPr>
        <w:t xml:space="preserve">(</w:t>
      </w:r>
      <w:r>
        <w:rPr>
          <w:rStyle w:val="SpecialStringTok"/>
        </w:rPr>
        <w:t xml:space="preserve">f"VAR(</w:t>
      </w:r>
      <w:r>
        <w:rPr>
          <w:rStyle w:val="SpecialCharTok"/>
        </w:rPr>
        <w:t xml:space="preserve">{</w:t>
      </w:r>
      <w:r>
        <w:rPr>
          <w:rStyle w:val="NormalTok"/>
        </w:rPr>
        <w:t xml:space="preserve">p</w:t>
      </w:r>
      <w:r>
        <w:rPr>
          <w:rStyle w:val="SpecialCharTok"/>
        </w:rPr>
        <w:t xml:space="preserve">}</w:t>
      </w:r>
      <w:r>
        <w:rPr>
          <w:rStyle w:val="SpecialStringTok"/>
        </w:rPr>
        <w:t xml:space="preserve">): Granger ap-&gt;ufo p = "</w:t>
      </w:r>
      <w:r>
        <w:br/>
      </w:r>
      <w:r>
        <w:rPr>
          <w:rStyle w:val="NormalTok"/>
        </w:rPr>
        <w:t xml:space="preserve">      </w:t>
      </w:r>
      <w:r>
        <w:rPr>
          <w:rStyle w:val="SpecialStringTok"/>
        </w:rPr>
        <w:t xml:space="preserve">f"</w:t>
      </w:r>
      <w:r>
        <w:rPr>
          <w:rStyle w:val="SpecialCharTok"/>
        </w:rPr>
        <w:t xml:space="preserve">{</w:t>
      </w:r>
      <w:r>
        <w:rPr>
          <w:rStyle w:val="NormalTok"/>
        </w:rPr>
        <w:t xml:space="preserve">res</w:t>
      </w:r>
      <w:r>
        <w:rPr>
          <w:rStyle w:val="SpecialCharTok"/>
        </w:rPr>
        <w:t xml:space="preserve">.</w:t>
      </w:r>
      <w:r>
        <w:rPr>
          <w:rStyle w:val="NormalTok"/>
        </w:rPr>
        <w:t xml:space="preserve">test_causality(</w:t>
      </w:r>
      <w:r>
        <w:rPr>
          <w:rStyle w:val="StringTok"/>
        </w:rPr>
        <w:t xml:space="preserve">'ufo'</w:t>
      </w:r>
      <w:r>
        <w:rPr>
          <w:rStyle w:val="NormalTok"/>
        </w:rPr>
        <w:t xml:space="preserve">, [</w:t>
      </w:r>
      <w:r>
        <w:rPr>
          <w:rStyle w:val="StringTok"/>
        </w:rPr>
        <w:t xml:space="preserve">'ap'</w:t>
      </w:r>
      <w:r>
        <w:rPr>
          <w:rStyle w:val="NormalTok"/>
        </w:rPr>
        <w:t xml:space="preserve">], kind</w:t>
      </w:r>
      <w:r>
        <w:rPr>
          <w:rStyle w:val="OperatorTok"/>
        </w:rPr>
        <w:t xml:space="preserve">=</w:t>
      </w:r>
      <w:r>
        <w:rPr>
          <w:rStyle w:val="StringTok"/>
        </w:rPr>
        <w:t xml:space="preserve">'f'</w:t>
      </w:r>
      <w:r>
        <w:rPr>
          <w:rStyle w:val="NormalTok"/>
        </w:rPr>
        <w:t xml:space="preserve">)</w:t>
      </w:r>
      <w:r>
        <w:rPr>
          <w:rStyle w:val="SpecialCharTok"/>
        </w:rPr>
        <w:t xml:space="preserve">.</w:t>
      </w:r>
      <w:r>
        <w:rPr>
          <w:rStyle w:val="NormalTok"/>
        </w:rPr>
        <w:t xml:space="preserve">pvalue</w:t>
      </w:r>
      <w:r>
        <w:rPr>
          <w:rStyle w:val="SpecialCharTok"/>
        </w:rPr>
        <w:t xml:space="preserve">:.3f}</w:t>
      </w:r>
      <w:r>
        <w:rPr>
          <w:rStyle w:val="SpecialStringTok"/>
        </w:rPr>
        <w:t xml:space="preserve">; ufo-&gt;ap p = "</w:t>
      </w:r>
      <w:r>
        <w:br/>
      </w:r>
      <w:r>
        <w:rPr>
          <w:rStyle w:val="NormalTok"/>
        </w:rPr>
        <w:t xml:space="preserve">      </w:t>
      </w:r>
      <w:r>
        <w:rPr>
          <w:rStyle w:val="SpecialStringTok"/>
        </w:rPr>
        <w:t xml:space="preserve">f"</w:t>
      </w:r>
      <w:r>
        <w:rPr>
          <w:rStyle w:val="SpecialCharTok"/>
        </w:rPr>
        <w:t xml:space="preserve">{</w:t>
      </w:r>
      <w:r>
        <w:rPr>
          <w:rStyle w:val="NormalTok"/>
        </w:rPr>
        <w:t xml:space="preserve">res</w:t>
      </w:r>
      <w:r>
        <w:rPr>
          <w:rStyle w:val="SpecialCharTok"/>
        </w:rPr>
        <w:t xml:space="preserve">.</w:t>
      </w:r>
      <w:r>
        <w:rPr>
          <w:rStyle w:val="NormalTok"/>
        </w:rPr>
        <w:t xml:space="preserve">test_causality(</w:t>
      </w:r>
      <w:r>
        <w:rPr>
          <w:rStyle w:val="StringTok"/>
        </w:rPr>
        <w:t xml:space="preserve">'ap'</w:t>
      </w:r>
      <w:r>
        <w:rPr>
          <w:rStyle w:val="NormalTok"/>
        </w:rPr>
        <w:t xml:space="preserve">, [</w:t>
      </w:r>
      <w:r>
        <w:rPr>
          <w:rStyle w:val="StringTok"/>
        </w:rPr>
        <w:t xml:space="preserve">'ufo'</w:t>
      </w:r>
      <w:r>
        <w:rPr>
          <w:rStyle w:val="NormalTok"/>
        </w:rPr>
        <w:t xml:space="preserve">], kind</w:t>
      </w:r>
      <w:r>
        <w:rPr>
          <w:rStyle w:val="OperatorTok"/>
        </w:rPr>
        <w:t xml:space="preserve">=</w:t>
      </w:r>
      <w:r>
        <w:rPr>
          <w:rStyle w:val="StringTok"/>
        </w:rPr>
        <w:t xml:space="preserve">'f'</w:t>
      </w:r>
      <w:r>
        <w:rPr>
          <w:rStyle w:val="NormalTok"/>
        </w:rPr>
        <w:t xml:space="preserve">)</w:t>
      </w:r>
      <w:r>
        <w:rPr>
          <w:rStyle w:val="SpecialCharTok"/>
        </w:rPr>
        <w:t xml:space="preserve">.</w:t>
      </w:r>
      <w:r>
        <w:rPr>
          <w:rStyle w:val="NormalTok"/>
        </w:rPr>
        <w:t xml:space="preserve">pvalue</w:t>
      </w:r>
      <w:r>
        <w:rPr>
          <w:rStyle w:val="SpecialCharTok"/>
        </w:rPr>
        <w:t xml:space="preserve">:.3f}</w:t>
      </w:r>
      <w:r>
        <w:rPr>
          <w:rStyle w:val="SpecialStringTok"/>
        </w:rPr>
        <w:t xml:space="preserve">; "</w:t>
      </w:r>
      <w:r>
        <w:br/>
      </w:r>
      <w:r>
        <w:rPr>
          <w:rStyle w:val="NormalTok"/>
        </w:rPr>
        <w:t xml:space="preserve">      </w:t>
      </w:r>
      <w:r>
        <w:rPr>
          <w:rStyle w:val="SpecialStringTok"/>
        </w:rPr>
        <w:t xml:space="preserve">f"IRF peak at </w:t>
      </w:r>
      <w:r>
        <w:rPr>
          <w:rStyle w:val="SpecialCha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(np.argmax(res.irf(</w:t>
      </w:r>
      <w:r>
        <w:rPr>
          <w:rStyle w:val="DecValTok"/>
        </w:rPr>
        <w:t xml:space="preserve">8</w:t>
      </w:r>
      <w:r>
        <w:rPr>
          <w:rStyle w:val="NormalTok"/>
        </w:rPr>
        <w:t xml:space="preserve">).irfs[:, </w:t>
      </w:r>
      <w:r>
        <w:rPr>
          <w:rStyle w:val="DecValTok"/>
        </w:rPr>
        <w:t xml:space="preserve">1</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h"</w:t>
      </w:r>
      <w:r>
        <w:rPr>
          <w:rStyle w:val="NormalTok"/>
        </w:rPr>
        <w:t xml:space="preserve">)</w:t>
      </w:r>
      <w:r>
        <w:br/>
      </w:r>
      <w:r>
        <w:br/>
      </w:r>
      <w:r>
        <w:rPr>
          <w:rStyle w:val="CommentTok"/>
        </w:rPr>
        <w:t xml:space="preserve"># --- Section 2 calibration: Kuramoto ensemble whose coupling is driven by the field</w:t>
      </w:r>
      <w:r>
        <w:br/>
      </w:r>
      <w:r>
        <w:rPr>
          <w:rStyle w:val="NormalTok"/>
        </w:rPr>
        <w:t xml:space="preserve">rng </w:t>
      </w:r>
      <w:r>
        <w:rPr>
          <w:rStyle w:val="OperatorTok"/>
        </w:rPr>
        <w:t xml:space="preserve">=</w:t>
      </w:r>
      <w:r>
        <w:rPr>
          <w:rStyle w:val="NormalTok"/>
        </w:rPr>
        <w:t xml:space="preserve"> np.random.default_rng(</w:t>
      </w:r>
      <w:r>
        <w:rPr>
          <w:rStyle w:val="DecValTok"/>
        </w:rPr>
        <w:t xml:space="preserve">1</w:t>
      </w:r>
      <w:r>
        <w:rPr>
          <w:rStyle w:val="NormalTok"/>
        </w:rPr>
        <w:t xml:space="preserve">)</w:t>
      </w:r>
      <w:r>
        <w:rPr>
          <w:rStyle w:val="OperatorTok"/>
        </w:rPr>
        <w:t xml:space="preserve">;</w:t>
      </w:r>
      <w:r>
        <w:rPr>
          <w:rStyle w:val="NormalTok"/>
        </w:rPr>
        <w:t xml:space="preserve"> n, sig, K0, dt </w:t>
      </w:r>
      <w:r>
        <w:rPr>
          <w:rStyle w:val="OperatorTok"/>
        </w:rPr>
        <w:t xml:space="preserve">=</w:t>
      </w:r>
      <w:r>
        <w:rPr>
          <w:rStyle w:val="NormalTok"/>
        </w:rPr>
        <w:t xml:space="preserve"> </w:t>
      </w:r>
      <w:r>
        <w:rPr>
          <w:rStyle w:val="DecValTok"/>
        </w:rPr>
        <w:t xml:space="preserve">400</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0.05</w:t>
      </w:r>
      <w:r>
        <w:br/>
      </w:r>
      <w:r>
        <w:rPr>
          <w:rStyle w:val="NormalTok"/>
        </w:rPr>
        <w:t xml:space="preserve">om, th </w:t>
      </w:r>
      <w:r>
        <w:rPr>
          <w:rStyle w:val="OperatorTok"/>
        </w:rPr>
        <w:t xml:space="preserve">=</w:t>
      </w:r>
      <w:r>
        <w:rPr>
          <w:rStyle w:val="NormalTok"/>
        </w:rPr>
        <w:t xml:space="preserve"> rng.normal(</w:t>
      </w:r>
      <w:r>
        <w:rPr>
          <w:rStyle w:val="DecValTok"/>
        </w:rPr>
        <w:t xml:space="preserve">0</w:t>
      </w:r>
      <w:r>
        <w:rPr>
          <w:rStyle w:val="NormalTok"/>
        </w:rPr>
        <w:t xml:space="preserve">, sig, n), rng.uniform(</w:t>
      </w:r>
      <w:r>
        <w:rPr>
          <w:rStyle w:val="OperatorTok"/>
        </w:rPr>
        <w:t xml:space="preserve">-</w:t>
      </w:r>
      <w:r>
        <w:rPr>
          <w:rStyle w:val="NormalTok"/>
        </w:rPr>
        <w:t xml:space="preserve">np.pi, np.pi, n)</w:t>
      </w:r>
      <w:r>
        <w:br/>
      </w:r>
      <w:r>
        <w:rPr>
          <w:rStyle w:val="NormalTok"/>
        </w:rPr>
        <w:t xml:space="preserve">apv </w:t>
      </w:r>
      <w:r>
        <w:rPr>
          <w:rStyle w:val="OperatorTok"/>
        </w:rPr>
        <w:t xml:space="preserve">=</w:t>
      </w:r>
      <w:r>
        <w:rPr>
          <w:rStyle w:val="NormalTok"/>
        </w:rPr>
        <w:t xml:space="preserve"> np.repeat(tab[</w:t>
      </w:r>
      <w:r>
        <w:rPr>
          <w:rStyle w:val="StringTok"/>
        </w:rPr>
        <w:t xml:space="preserve">"ap"</w:t>
      </w:r>
      <w:r>
        <w:rPr>
          <w:rStyle w:val="NormalTok"/>
        </w:rPr>
        <w:t xml:space="preserve">].values, </w:t>
      </w:r>
      <w:r>
        <w:rPr>
          <w:rStyle w:val="BuiltInTok"/>
        </w:rPr>
        <w:t xml:space="preserve">int</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dt))</w:t>
      </w:r>
      <w:r>
        <w:rPr>
          <w:rStyle w:val="OperatorTok"/>
        </w:rPr>
        <w:t xml:space="preserve">;</w:t>
      </w:r>
      <w:r>
        <w:rPr>
          <w:rStyle w:val="NormalTok"/>
        </w:rPr>
        <w:t xml:space="preserve"> r </w:t>
      </w:r>
      <w:r>
        <w:rPr>
          <w:rStyle w:val="OperatorTok"/>
        </w:rPr>
        <w:t xml:space="preserve">=</w:t>
      </w:r>
      <w:r>
        <w:rPr>
          <w:rStyle w:val="NormalTok"/>
        </w:rPr>
        <w:t xml:space="preserve"> []</w:t>
      </w:r>
      <w:r>
        <w:br/>
      </w:r>
      <w:r>
        <w:rPr>
          <w:rStyle w:val="ControlFlowTok"/>
        </w:rPr>
        <w:t xml:space="preserve">for</w:t>
      </w:r>
      <w:r>
        <w:rPr>
          <w:rStyle w:val="NormalTok"/>
        </w:rPr>
        <w:t xml:space="preserve"> a </w:t>
      </w:r>
      <w:r>
        <w:rPr>
          <w:rStyle w:val="KeywordTok"/>
        </w:rPr>
        <w:t xml:space="preserve">in</w:t>
      </w:r>
      <w:r>
        <w:rPr>
          <w:rStyle w:val="NormalTok"/>
        </w:rPr>
        <w:t xml:space="preserve"> apv:                     </w:t>
      </w:r>
      <w:r>
        <w:rPr>
          <w:rStyle w:val="CommentTok"/>
        </w:rPr>
        <w:t xml:space="preserve"># K(t) = K0 + ap(t)/27 ; mean-field Kuramoto step</w:t>
      </w:r>
      <w:r>
        <w:br/>
      </w:r>
      <w:r>
        <w:rPr>
          <w:rStyle w:val="NormalTok"/>
        </w:rPr>
        <w:t xml:space="preserve">    z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th).mean()</w:t>
      </w:r>
      <w:r>
        <w:rPr>
          <w:rStyle w:val="OperatorTok"/>
        </w:rPr>
        <w:t xml:space="preserve">;</w:t>
      </w:r>
      <w:r>
        <w:rPr>
          <w:rStyle w:val="NormalTok"/>
        </w:rPr>
        <w:t xml:space="preserve"> r.append(</w:t>
      </w:r>
      <w:r>
        <w:rPr>
          <w:rStyle w:val="BuiltInTok"/>
        </w:rPr>
        <w:t xml:space="preserve">abs</w:t>
      </w:r>
      <w:r>
        <w:rPr>
          <w:rStyle w:val="NormalTok"/>
        </w:rPr>
        <w:t xml:space="preserve">(z))</w:t>
      </w:r>
      <w:r>
        <w:br/>
      </w:r>
      <w:r>
        <w:rPr>
          <w:rStyle w:val="NormalTok"/>
        </w:rPr>
        <w:t xml:space="preserve">    th </w:t>
      </w:r>
      <w:r>
        <w:rPr>
          <w:rStyle w:val="OperatorTok"/>
        </w:rPr>
        <w:t xml:space="preserve">=</w:t>
      </w:r>
      <w:r>
        <w:rPr>
          <w:rStyle w:val="NormalTok"/>
        </w:rPr>
        <w:t xml:space="preserve"> th </w:t>
      </w:r>
      <w:r>
        <w:rPr>
          <w:rStyle w:val="OperatorTok"/>
        </w:rPr>
        <w:t xml:space="preserve">+</w:t>
      </w:r>
      <w:r>
        <w:rPr>
          <w:rStyle w:val="NormalTok"/>
        </w:rPr>
        <w:t xml:space="preserve"> dt </w:t>
      </w:r>
      <w:r>
        <w:rPr>
          <w:rStyle w:val="OperatorTok"/>
        </w:rPr>
        <w:t xml:space="preserve">*</w:t>
      </w:r>
      <w:r>
        <w:rPr>
          <w:rStyle w:val="NormalTok"/>
        </w:rPr>
        <w:t xml:space="preserve"> (om </w:t>
      </w:r>
      <w:r>
        <w:rPr>
          <w:rStyle w:val="OperatorTok"/>
        </w:rPr>
        <w:t xml:space="preserve">+</w:t>
      </w:r>
      <w:r>
        <w:rPr>
          <w:rStyle w:val="NormalTok"/>
        </w:rPr>
        <w:t xml:space="preserve"> (K0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27</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(z) </w:t>
      </w:r>
      <w:r>
        <w:rPr>
          <w:rStyle w:val="OperatorTok"/>
        </w:rPr>
        <w:t xml:space="preserve">*</w:t>
      </w:r>
      <w:r>
        <w:rPr>
          <w:rStyle w:val="NormalTok"/>
        </w:rPr>
        <w:t xml:space="preserve"> np.sin(np.angle(z) </w:t>
      </w:r>
      <w:r>
        <w:rPr>
          <w:rStyle w:val="OperatorTok"/>
        </w:rPr>
        <w:t xml:space="preserve">-</w:t>
      </w:r>
      <w:r>
        <w:rPr>
          <w:rStyle w:val="NormalTok"/>
        </w:rPr>
        <w:t xml:space="preserve"> th))</w:t>
      </w:r>
      <w:r>
        <w:br/>
      </w:r>
      <w:r>
        <w:rPr>
          <w:rStyle w:val="NormalTok"/>
        </w:rPr>
        <w:t xml:space="preserve">r </w:t>
      </w:r>
      <w:r>
        <w:rPr>
          <w:rStyle w:val="OperatorTok"/>
        </w:rPr>
        <w:t xml:space="preserve">=</w:t>
      </w:r>
      <w:r>
        <w:rPr>
          <w:rStyle w:val="NormalTok"/>
        </w:rPr>
        <w:t xml:space="preserve"> np.array(r)</w:t>
      </w:r>
      <w:r>
        <w:rPr>
          <w:rStyle w:val="OperatorTok"/>
        </w:rPr>
        <w:t xml:space="preserve">;</w:t>
      </w:r>
      <w:r>
        <w:rPr>
          <w:rStyle w:val="NormalTok"/>
        </w:rPr>
        <w:t xml:space="preserve"> Kc </w:t>
      </w:r>
      <w:r>
        <w:rPr>
          <w:rStyle w:val="OperatorTok"/>
        </w:rPr>
        <w:t xml:space="preserve">=</w:t>
      </w:r>
      <w:r>
        <w:rPr>
          <w:rStyle w:val="NormalTok"/>
        </w:rPr>
        <w:t xml:space="preserve"> sig </w:t>
      </w:r>
      <w:r>
        <w:rPr>
          <w:rStyle w:val="OperatorTok"/>
        </w:rPr>
        <w:t xml:space="preserve">*</w:t>
      </w:r>
      <w:r>
        <w:rPr>
          <w:rStyle w:val="NormalTok"/>
        </w:rPr>
        <w:t xml:space="preserve"> np.sqrt(</w:t>
      </w:r>
      <w:r>
        <w:rPr>
          <w:rStyle w:val="DecValTok"/>
        </w:rPr>
        <w:t xml:space="preserve">8</w:t>
      </w:r>
      <w:r>
        <w:rPr>
          <w:rStyle w:val="NormalTok"/>
        </w:rPr>
        <w:t xml:space="preserve"> </w:t>
      </w:r>
      <w:r>
        <w:rPr>
          <w:rStyle w:val="OperatorTok"/>
        </w:rPr>
        <w:t xml:space="preserve">/</w:t>
      </w:r>
      <w:r>
        <w:rPr>
          <w:rStyle w:val="NormalTok"/>
        </w:rPr>
        <w:t xml:space="preserve"> np.pi)</w:t>
      </w:r>
      <w:r>
        <w:br/>
      </w:r>
      <w:r>
        <w:rPr>
          <w:rStyle w:val="BuiltInTok"/>
        </w:rPr>
        <w:t xml:space="preserve">print</w:t>
      </w:r>
      <w:r>
        <w:rPr>
          <w:rStyle w:val="NormalTok"/>
        </w:rPr>
        <w:t xml:space="preserve">(</w:t>
      </w:r>
      <w:r>
        <w:rPr>
          <w:rStyle w:val="SpecialStringTok"/>
        </w:rPr>
        <w:t xml:space="preserve">f"Kuramoto: Kc = </w:t>
      </w:r>
      <w:r>
        <w:rPr>
          <w:rStyle w:val="SpecialCharTok"/>
        </w:rPr>
        <w:t xml:space="preserve">{</w:t>
      </w:r>
      <w:r>
        <w:rPr>
          <w:rStyle w:val="NormalTok"/>
        </w:rPr>
        <w:t xml:space="preserve">Kc</w:t>
      </w:r>
      <w:r>
        <w:rPr>
          <w:rStyle w:val="SpecialCharTok"/>
        </w:rPr>
        <w:t xml:space="preserve">:.2f}</w:t>
      </w:r>
      <w:r>
        <w:rPr>
          <w:rStyle w:val="SpecialStringTok"/>
        </w:rPr>
        <w:t xml:space="preserve"> (crossed at ap = </w:t>
      </w:r>
      <w:r>
        <w:rPr>
          <w:rStyle w:val="SpecialCharTok"/>
        </w:rPr>
        <w:t xml:space="preserve">{</w:t>
      </w:r>
      <w:r>
        <w:rPr>
          <w:rStyle w:val="NormalTok"/>
        </w:rPr>
        <w:t xml:space="preserve">(Kc </w:t>
      </w:r>
      <w:r>
        <w:rPr>
          <w:rStyle w:val="OperatorTok"/>
        </w:rPr>
        <w:t xml:space="preserve">-</w:t>
      </w:r>
      <w:r>
        <w:rPr>
          <w:rStyle w:val="NormalTok"/>
        </w:rPr>
        <w:t xml:space="preserve"> K0) </w:t>
      </w:r>
      <w:r>
        <w:rPr>
          <w:rStyle w:val="OperatorTok"/>
        </w:rPr>
        <w:t xml:space="preserve">*</w:t>
      </w:r>
      <w:r>
        <w:rPr>
          <w:rStyle w:val="NormalTok"/>
        </w:rPr>
        <w:t xml:space="preserve"> </w:t>
      </w:r>
      <w:r>
        <w:rPr>
          <w:rStyle w:val="DecValTok"/>
        </w:rPr>
        <w:t xml:space="preserve">27</w:t>
      </w:r>
      <w:r>
        <w:rPr>
          <w:rStyle w:val="SpecialCharTok"/>
        </w:rPr>
        <w:t xml:space="preserve">:.1f}</w:t>
      </w:r>
      <w:r>
        <w:rPr>
          <w:rStyle w:val="SpecialStringTok"/>
        </w:rPr>
        <w:t xml:space="preserve"> nT); "</w:t>
      </w:r>
      <w:r>
        <w:br/>
      </w:r>
      <w:r>
        <w:rPr>
          <w:rStyle w:val="NormalTok"/>
        </w:rPr>
        <w:t xml:space="preserve">      </w:t>
      </w:r>
      <w:r>
        <w:rPr>
          <w:rStyle w:val="SpecialStringTok"/>
        </w:rPr>
        <w:t xml:space="preserve">f"r 25-29 Oct </w:t>
      </w:r>
      <w:r>
        <w:rPr>
          <w:rStyle w:val="SpecialCharTok"/>
        </w:rPr>
        <w:t xml:space="preserve">{</w:t>
      </w:r>
      <w:r>
        <w:rPr>
          <w:rStyle w:val="NormalTok"/>
        </w:rPr>
        <w:t xml:space="preserve">r[:</w:t>
      </w:r>
      <w:r>
        <w:rPr>
          <w:rStyle w:val="BuiltInTok"/>
        </w:rPr>
        <w:t xml:space="preserve">int</w:t>
      </w:r>
      <w:r>
        <w:rPr>
          <w:rStyle w:val="NormalTok"/>
        </w:rPr>
        <w:t xml:space="preserve">(</w:t>
      </w:r>
      <w:r>
        <w:rPr>
          <w:rStyle w:val="DecValTok"/>
        </w:rPr>
        <w:t xml:space="preserve">120</w:t>
      </w:r>
      <w:r>
        <w:rPr>
          <w:rStyle w:val="NormalTok"/>
        </w:rPr>
        <w:t xml:space="preserve"> </w:t>
      </w:r>
      <w:r>
        <w:rPr>
          <w:rStyle w:val="OperatorTok"/>
        </w:rPr>
        <w:t xml:space="preserve">/</w:t>
      </w:r>
      <w:r>
        <w:rPr>
          <w:rStyle w:val="NormalTok"/>
        </w:rPr>
        <w:t xml:space="preserve"> dt)]</w:t>
      </w:r>
      <w:r>
        <w:rPr>
          <w:rStyle w:val="SpecialCharTok"/>
        </w:rPr>
        <w:t xml:space="preserve">.</w:t>
      </w:r>
      <w:r>
        <w:rPr>
          <w:rStyle w:val="NormalTok"/>
        </w:rPr>
        <w:t xml:space="preserve">mean()</w:t>
      </w:r>
      <w:r>
        <w:rPr>
          <w:rStyle w:val="SpecialCharTok"/>
        </w:rPr>
        <w:t xml:space="preserve">:.2f}</w:t>
      </w:r>
      <w:r>
        <w:rPr>
          <w:rStyle w:val="SpecialStringTok"/>
        </w:rPr>
        <w:t xml:space="preserve">, r 31 Oct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BuiltInTok"/>
        </w:rPr>
        <w:t xml:space="preserve">int</w:t>
      </w:r>
      <w:r>
        <w:rPr>
          <w:rStyle w:val="NormalTok"/>
        </w:rPr>
        <w:t xml:space="preserve">(</w:t>
      </w:r>
      <w:r>
        <w:rPr>
          <w:rStyle w:val="DecValTok"/>
        </w:rPr>
        <w:t xml:space="preserve">144</w:t>
      </w:r>
      <w:r>
        <w:rPr>
          <w:rStyle w:val="NormalTok"/>
        </w:rPr>
        <w:t xml:space="preserve"> </w:t>
      </w:r>
      <w:r>
        <w:rPr>
          <w:rStyle w:val="OperatorTok"/>
        </w:rPr>
        <w:t xml:space="preserve">/</w:t>
      </w:r>
      <w:r>
        <w:rPr>
          <w:rStyle w:val="NormalTok"/>
        </w:rPr>
        <w:t xml:space="preserve"> dt):</w:t>
      </w:r>
      <w:r>
        <w:rPr>
          <w:rStyle w:val="BuiltInTok"/>
        </w:rPr>
        <w:t xml:space="preserve">int</w:t>
      </w:r>
      <w:r>
        <w:rPr>
          <w:rStyle w:val="NormalTok"/>
        </w:rPr>
        <w:t xml:space="preserve">(</w:t>
      </w:r>
      <w:r>
        <w:rPr>
          <w:rStyle w:val="DecValTok"/>
        </w:rPr>
        <w:t xml:space="preserve">168</w:t>
      </w:r>
      <w:r>
        <w:rPr>
          <w:rStyle w:val="NormalTok"/>
        </w:rPr>
        <w:t xml:space="preserve"> </w:t>
      </w:r>
      <w:r>
        <w:rPr>
          <w:rStyle w:val="OperatorTok"/>
        </w:rPr>
        <w:t xml:space="preserve">/</w:t>
      </w:r>
      <w:r>
        <w:rPr>
          <w:rStyle w:val="NormalTok"/>
        </w:rPr>
        <w:t xml:space="preserve"> dt)]</w:t>
      </w:r>
      <w:r>
        <w:rPr>
          <w:rStyle w:val="SpecialCharTok"/>
        </w:rPr>
        <w:t xml:space="preserve">.</w:t>
      </w:r>
      <w:r>
        <w:rPr>
          <w:rStyle w:val="NormalTok"/>
        </w:rPr>
        <w:t xml:space="preserve">mean()</w:t>
      </w:r>
      <w:r>
        <w:rPr>
          <w:rStyle w:val="SpecialCharTok"/>
        </w:rPr>
        <w:t xml:space="preserve">:.2f}</w:t>
      </w:r>
      <w:r>
        <w:rPr>
          <w:rStyle w:val="SpecialStringTok"/>
        </w:rPr>
        <w:t xml:space="preserve">, first r &gt; 0.5 at "</w:t>
      </w:r>
      <w:r>
        <w:br/>
      </w:r>
      <w:r>
        <w:rPr>
          <w:rStyle w:val="NormalTok"/>
        </w:rPr>
        <w:t xml:space="preserve">      </w:t>
      </w:r>
      <w:r>
        <w:rPr>
          <w:rStyle w:val="SpecialStringTok"/>
        </w:rPr>
        <w:t xml:space="preserve">f"</w:t>
      </w:r>
      <w:r>
        <w:rPr>
          <w:rStyle w:val="SpecialCharTok"/>
        </w:rPr>
        <w:t xml:space="preserve">{</w:t>
      </w:r>
      <w:r>
        <w:rPr>
          <w:rStyle w:val="NormalTok"/>
        </w:rPr>
        <w:t xml:space="preserve">tab</w:t>
      </w:r>
      <w:r>
        <w:rPr>
          <w:rStyle w:val="SpecialCharTok"/>
        </w:rPr>
        <w:t xml:space="preserve">.</w:t>
      </w:r>
      <w:r>
        <w:rPr>
          <w:rStyle w:val="NormalTok"/>
        </w:rPr>
        <w:t xml:space="preserve">index[</w:t>
      </w:r>
      <w:r>
        <w:rPr>
          <w:rStyle w:val="DecValTok"/>
        </w:rPr>
        <w:t xml:space="preserve">0</w:t>
      </w:r>
      <w:r>
        <w:rPr>
          <w:rStyle w:val="NormalTok"/>
        </w:rPr>
        <w:t xml:space="preserve">] </w:t>
      </w:r>
      <w:r>
        <w:rPr>
          <w:rStyle w:val="OperatorTok"/>
        </w:rPr>
        <w:t xml:space="preserve">+</w:t>
      </w:r>
      <w:r>
        <w:rPr>
          <w:rStyle w:val="NormalTok"/>
        </w:rPr>
        <w:t xml:space="preserve"> pd</w:t>
      </w:r>
      <w:r>
        <w:rPr>
          <w:rStyle w:val="SpecialCharTok"/>
        </w:rPr>
        <w:t xml:space="preserve">.</w:t>
      </w:r>
      <w:r>
        <w:rPr>
          <w:rStyle w:val="NormalTok"/>
        </w:rPr>
        <w:t xml:space="preserve">Timedelta(hours</w:t>
      </w:r>
      <w:r>
        <w:rPr>
          <w:rStyle w:val="OperatorTok"/>
        </w:rPr>
        <w:t xml:space="preserve">=</w:t>
      </w:r>
      <w:r>
        <w:rPr>
          <w:rStyle w:val="BuiltInTok"/>
        </w:rPr>
        <w:t xml:space="preserve">float</w:t>
      </w:r>
      <w:r>
        <w:rPr>
          <w:rStyle w:val="NormalTok"/>
        </w:rPr>
        <w:t xml:space="preserve">(np.argmax(r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w:t>
      </w:r>
      <w:r>
        <w:rPr>
          <w:rStyle w:val="SpecialCharTok"/>
        </w:rPr>
        <w:t xml:space="preserve">}</w:t>
      </w:r>
      <w:r>
        <w:rPr>
          <w:rStyle w:val="SpecialStringTok"/>
        </w:rPr>
        <w:t xml:space="preserve"> UT"</w:t>
      </w:r>
      <w:r>
        <w:rPr>
          <w:rStyle w:val="NormalTok"/>
        </w:rPr>
        <w:t xml:space="preserve">)</w:t>
      </w:r>
    </w:p>
    <w:p>
      <w:pPr>
        <w:pStyle w:val="FirstParagraph"/>
      </w:pPr>
      <w:r>
        <w:t xml:space="preserve">Output of Listing 1 on the archived inputs:</w:t>
      </w:r>
    </w:p>
    <w:p>
      <w:pPr>
        <w:pStyle w:val="SourceCode"/>
      </w:pPr>
      <w:r>
        <w:rPr>
          <w:rStyle w:val="VerbatimChar"/>
        </w:rPr>
        <w:t xml:space="preserve">r(definitive, fig4 / fig5 Ap) = 0.99 0.952</w:t>
      </w:r>
      <w:r>
        <w:br/>
      </w:r>
      <w:r>
        <w:rPr>
          <w:rStyle w:val="VerbatimChar"/>
        </w:rPr>
        <w:t xml:space="preserve">definitive Ap component, 31 Oct: 5.3%, rank 125/365; maxima at DOY [ 22  64 162 203 246 312 354]</w:t>
      </w:r>
      <w:r>
        <w:br/>
      </w:r>
      <w:r>
        <w:rPr>
          <w:rStyle w:val="VerbatimChar"/>
        </w:rPr>
        <w:t xml:space="preserve">fig4: R2 0.9979/0.9977 | C(0) -0.29 | min C -0.49 at tau +15 d | dphi(n=2) -160 deg |</w:t>
      </w:r>
      <w:r>
        <w:br/>
      </w:r>
      <w:r>
        <w:rPr>
          <w:rStyle w:val="VerbatimChar"/>
        </w:rPr>
        <w:t xml:space="preserve">      PLV(0) 0.45, mean dphi +158 deg | pairs 6/8, lag 21.2 +- 13.6 d, Rayleigh p 0.63 |</w:t>
      </w:r>
      <w:r>
        <w:br/>
      </w:r>
      <w:r>
        <w:rPr>
          <w:rStyle w:val="VerbatimChar"/>
        </w:rPr>
        <w:t xml:space="preserve">      Ap max nearest 31 Oct: DOY 313</w:t>
      </w:r>
      <w:r>
        <w:br/>
      </w:r>
      <w:r>
        <w:rPr>
          <w:rStyle w:val="VerbatimChar"/>
        </w:rPr>
        <w:t xml:space="preserve">fig5: R2 1.0000/0.9992 | C(0) -0.23 | min C -0.56 at tau +12 d | dphi(n=2) -166 deg |</w:t>
      </w:r>
      <w:r>
        <w:br/>
      </w:r>
      <w:r>
        <w:rPr>
          <w:rStyle w:val="VerbatimChar"/>
        </w:rPr>
        <w:t xml:space="preserve">      PLV(0) 0.40, mean dphi +162 deg | pairs 7/8, lag 26.9 +- 13.0 d, Rayleigh p 0.18 |</w:t>
      </w:r>
      <w:r>
        <w:br/>
      </w:r>
      <w:r>
        <w:rPr>
          <w:rStyle w:val="VerbatimChar"/>
        </w:rPr>
        <w:t xml:space="preserve">      Ap max nearest 31 Oct: DOY 311</w:t>
      </w:r>
      <w:r>
        <w:br/>
      </w:r>
      <w:r>
        <w:rPr>
          <w:rStyle w:val="VerbatimChar"/>
        </w:rPr>
        <w:t xml:space="preserve">climatology 2004-2021: Ap(31 Oct) 6.2 vs mean 8.3, percentile 17, window 29 Oct-2 Nov perm. p 0.821</w:t>
      </w:r>
      <w:r>
        <w:br/>
      </w:r>
      <w:r>
        <w:rPr>
          <w:rStyle w:val="VerbatimChar"/>
        </w:rPr>
        <w:t xml:space="preserve">climatology 1957-2025: Ap(31 Oct) 15.3 vs mean 12.8, percentile 88, window 29 Oct-2 Nov perm. p 0.040</w:t>
      </w:r>
      <w:r>
        <w:br/>
      </w:r>
      <w:r>
        <w:rPr>
          <w:rStyle w:val="VerbatimChar"/>
        </w:rPr>
        <w:t xml:space="preserve">climatology excl. 2003: Ap(31 Oct) 13.8 vs mean 12.7, percentile 70, window 29 Oct-2 Nov perm. p 0.139</w:t>
      </w:r>
      <w:r>
        <w:br/>
      </w:r>
      <w:r>
        <w:rPr>
          <w:rStyle w:val="VerbatimChar"/>
        </w:rPr>
        <w:t xml:space="preserve">search max (UT): 2021-10-31 03:00:00 | CCF max at lag 3 h, r = 0.367 | noise 0.269</w:t>
      </w:r>
      <w:r>
        <w:br/>
      </w:r>
      <w:r>
        <w:rPr>
          <w:rStyle w:val="VerbatimChar"/>
        </w:rPr>
        <w:t xml:space="preserve">VAR(1): Granger ap-&gt;ufo p = 0.060; ufo-&gt;ap p = 0.278; IRF peak at 6 h</w:t>
      </w:r>
      <w:r>
        <w:br/>
      </w:r>
      <w:r>
        <w:rPr>
          <w:rStyle w:val="VerbatimChar"/>
        </w:rPr>
        <w:t xml:space="preserve">Kuramoto: Kc = 0.80 (crossed at ap = 8.0 nT); r 25-29 Oct 0.12, r 31 Oct 0.72,</w:t>
      </w:r>
      <w:r>
        <w:br/>
      </w:r>
      <w:r>
        <w:rPr>
          <w:rStyle w:val="VerbatimChar"/>
        </w:rPr>
        <w:t xml:space="preserve">          first r &gt; 0.5 at 2021-10-30 23:03:00 UT</w:t>
      </w:r>
    </w:p>
    <w:p>
      <w:pPr>
        <w:pStyle w:val="FirstParagraph"/>
      </w:pPr>
      <w:r>
        <w:rPr>
          <w:iCs/>
          <w:i/>
        </w:rPr>
        <w:t xml:space="preserve">Data and code availability.</w:t>
      </w:r>
      <w:r>
        <w:t xml:space="preserve"> </w:t>
      </w:r>
      <w:r>
        <w:t xml:space="preserve">Definitive indices: GFZ Potsdam via the CSSI compilation at https://celestrak.org/SpaceData/ (no licence restriction; attribution requested). Real-time indices: ISGI, http://isgi.unistra.fr/data_plot.php. The source’s seven-day search export: https://docs.google.com/spreadsheets/d/1mZXsON8G8e5frev0sSoGPS_hdJBtb1ZGglrbJ1_xHSE. Scripts, intermediate files,</w:t>
      </w:r>
      <w:r>
        <w:t xml:space="preserve"> </w:t>
      </w:r>
      <w:r>
        <w:rPr>
          <w:rStyle w:val="VerbatimChar"/>
        </w:rPr>
        <w:t xml:space="preserve">results.json</w:t>
      </w:r>
      <w:r>
        <w:t xml:space="preserve"> </w:t>
      </w:r>
      <w:r>
        <w:t xml:space="preserve">and all figures: supplementary archive.</w:t>
      </w:r>
    </w:p>
    <w:bookmarkEnd w:id="66"/>
    <w:bookmarkEnd w:id="67"/>
    <w:bookmarkStart w:id="71" w:name="X4d165d6a43d9cf7569f8cb6ce533bfad9b1cebb"/>
    <w:p>
      <w:pPr>
        <w:pStyle w:val="Heading1"/>
      </w:pPr>
      <w:r>
        <w:t xml:space="preserve">Section 4. Conclusion and Statement of Concern</w:t>
      </w:r>
    </w:p>
    <w:bookmarkStart w:id="68" w:name="findings"/>
    <w:p>
      <w:pPr>
        <w:pStyle w:val="Heading2"/>
      </w:pPr>
      <w:r>
        <w:t xml:space="preserve">4.1 Findings</w:t>
      </w:r>
    </w:p>
    <w:p>
      <w:pPr>
        <w:pStyle w:val="FirstParagraph"/>
      </w:pPr>
      <w:r>
        <w:t xml:space="preserve">H0 is rejected on the annual components and on the event week, in both cases against the direction the source expected. The two annual components are not independent; they are locked in opposition, with the search curve the negative of the geomagnetic curve delayed by a fortnight (</w:t>
      </w:r>
      <m:oMath>
        <m:r>
          <m:t>C</m:t>
        </m:r>
        <m:r>
          <m:rPr>
            <m:sty m:val="p"/>
          </m:rPr>
          <m:t>=</m:t>
        </m:r>
        <m:r>
          <m:rPr>
            <m:sty m:val="p"/>
          </m:rPr>
          <m:t>−</m:t>
        </m:r>
        <m:r>
          <m:t>0.49</m:t>
        </m:r>
      </m:oMath>
      <w:r>
        <w:t xml:space="preserve"> </w:t>
      </w:r>
      <w:r>
        <w:t xml:space="preserve">to</w:t>
      </w:r>
      <w:r>
        <w:t xml:space="preserve"> </w:t>
      </w:r>
      <m:oMath>
        <m:r>
          <m:rPr>
            <m:sty m:val="p"/>
          </m:rPr>
          <m:t>−</m:t>
        </m:r>
        <m:r>
          <m:t>0.57</m:t>
        </m:r>
      </m:oMath>
      <w:r>
        <w:t xml:space="preserve"> </w:t>
      </w:r>
      <w:r>
        <w:t xml:space="preserve">at</w:t>
      </w:r>
      <w:r>
        <w:t xml:space="preserve"> </w:t>
      </w:r>
      <m:oMath>
        <m:r>
          <m:t>τ</m:t>
        </m:r>
        <m:r>
          <m:rPr>
            <m:sty m:val="p"/>
          </m:rPr>
          <m:t>=</m:t>
        </m:r>
        <m:r>
          <m:t>12</m:t>
        </m:r>
      </m:oMath>
      <w:r>
        <w:t xml:space="preserve">–</w:t>
      </w:r>
      <m:oMath>
        <m:r>
          <m:t>15</m:t>
        </m:r>
      </m:oMath>
      <w:r>
        <w:t xml:space="preserve"> </w:t>
      </w:r>
      <w:r>
        <w:t xml:space="preserve">d; mean phase difference</w:t>
      </w:r>
      <w:r>
        <w:t xml:space="preserve"> </w:t>
      </w:r>
      <m:oMath>
        <m:r>
          <m:t>158</m:t>
        </m:r>
        <m:r>
          <m:rPr>
            <m:sty m:val="p"/>
          </m:rPr>
          <m:t>°</m:t>
        </m:r>
      </m:oMath>
      <w:r>
        <w:t xml:space="preserve">–</w:t>
      </w:r>
      <m:oMath>
        <m:r>
          <m:t>162</m:t>
        </m:r>
        <m:r>
          <m:rPr>
            <m:sty m:val="p"/>
          </m:rPr>
          <m:t>°</m:t>
        </m:r>
      </m:oMath>
      <w:r>
        <w:t xml:space="preserve">), and the opposition is carried by the semiannual harmonic, the only harmonic of the Hyperborean perimeter whose phase returns from year to year. H1 survives in its lagged form and dies in its simultaneous form: there is no positive alignment at two to three weeks (</w:t>
      </w:r>
      <m:oMath>
        <m:r>
          <m:t>C</m:t>
        </m:r>
        <m:r>
          <m:rPr>
            <m:sty m:val="p"/>
          </m:rPr>
          <m:t>≤</m:t>
        </m:r>
        <m:r>
          <m:t>0.17</m:t>
        </m:r>
      </m:oMath>
      <w:r>
        <w:t xml:space="preserve">), the hand-drawn pairing of the source reduces by rule to six or seven pairs whose lags are indistinguishable from uniform scatter (</w:t>
      </w:r>
      <m:oMath>
        <m:r>
          <m:t>p</m:t>
        </m:r>
        <m:r>
          <m:rPr>
            <m:sty m:val="p"/>
          </m:rPr>
          <m:t>=</m:t>
        </m:r>
        <m:r>
          <m:t>0.18</m:t>
        </m:r>
      </m:oMath>
      <w:r>
        <w:t xml:space="preserve">–</w:t>
      </w:r>
      <m:oMath>
        <m:r>
          <m:t>0.63</m:t>
        </m:r>
      </m:oMath>
      <w:r>
        <w:t xml:space="preserve">), and the festival itself is not a geomagnetic maximum but the flank of one that falls on 8–10 November, in a window in which the festival is a quiet date (17th percentile) and is an active one only when the storms of 2003 are admitted. Within the week of 2021 the order the source asserted is observed: the field rose fourteen-fold into the festival, the search maximum followed the first</w:t>
      </w:r>
      <w:r>
        <w:t xml:space="preserve"> </w:t>
      </w:r>
      <m:oMath>
        <m:sSub>
          <m:e>
            <m:r>
              <m:t>K</m:t>
            </m:r>
          </m:e>
          <m:sub>
            <m:r>
              <m:t>p</m:t>
            </m:r>
          </m:sub>
        </m:sSub>
        <m:r>
          <m:t> </m:t>
        </m:r>
        <m:r>
          <m:t>4</m:t>
        </m:r>
        <m:r>
          <m:rPr>
            <m:sty m:val="p"/>
          </m:rPr>
          <m:t>−</m:t>
        </m:r>
      </m:oMath>
      <w:r>
        <w:t xml:space="preserve"> </w:t>
      </w:r>
      <w:r>
        <w:t xml:space="preserve">interval by 4.5 h, the cross-correlation peaks at</w:t>
      </w:r>
      <w:r>
        <w:t xml:space="preserve"> </w:t>
      </w:r>
      <m:oMath>
        <m:r>
          <m:rPr>
            <m:sty m:val="p"/>
          </m:rPr>
          <m:t>+</m:t>
        </m:r>
        <m:r>
          <m:t>2</m:t>
        </m:r>
      </m:oMath>
      <w:r>
        <w:t xml:space="preserve"> </w:t>
      </w:r>
      <w:r>
        <w:t xml:space="preserve">to</w:t>
      </w:r>
      <w:r>
        <w:t xml:space="preserve"> </w:t>
      </w:r>
      <m:oMath>
        <m:r>
          <m:rPr>
            <m:sty m:val="p"/>
          </m:rPr>
          <m:t>+</m:t>
        </m:r>
        <m:r>
          <m:t>3</m:t>
        </m:r>
      </m:oMath>
      <w:r>
        <w:t xml:space="preserve"> </w:t>
      </w:r>
      <w:r>
        <w:t xml:space="preserve">h above its noise level, and the field Granger-causes the search index at</w:t>
      </w:r>
      <w:r>
        <w:t xml:space="preserve"> </w:t>
      </w:r>
      <m:oMath>
        <m:r>
          <m:t>p</m:t>
        </m:r>
        <m:r>
          <m:rPr>
            <m:sty m:val="p"/>
          </m:rPr>
          <m:t>=</m:t>
        </m:r>
        <m:r>
          <m:t>0.060</m:t>
        </m:r>
      </m:oMath>
      <w:r>
        <w:t xml:space="preserve"> </w:t>
      </w:r>
      <w:r>
        <w:t xml:space="preserve">while the index does not Granger-cause the field (</w:t>
      </w:r>
      <m:oMath>
        <m:r>
          <m:t>p</m:t>
        </m:r>
        <m:r>
          <m:rPr>
            <m:sty m:val="p"/>
          </m:rPr>
          <m:t>=</m:t>
        </m:r>
        <m:r>
          <m:t>0.278</m:t>
        </m:r>
      </m:oMath>
      <w:r>
        <w:t xml:space="preserve">). H2 is not refuted, since a harvest that silences its crowd during the draw and releases it afterwards predicts opposition at a lag rather than coincidence, and the matrix of Section 2.5 assigns the festival its own row; but a mechanism that predicts the sign it finds after finding it has predicted nothing, and we say so. H3 remains open and would, if true, reverse the arrows in Section 3.5 without changing a single number in it.</w:t>
      </w:r>
    </w:p>
    <w:p>
      <w:pPr>
        <w:pStyle w:val="BodyText"/>
      </w:pPr>
      <w:r>
        <w:t xml:space="preserve">Three limitations are material. The search components were recovered from figures rather than from the series, with the consequences stated in Section 3.1 (the geomagnetic recovery validated at</w:t>
      </w:r>
      <w:r>
        <w:t xml:space="preserve"> </w:t>
      </w:r>
      <m:oMath>
        <m:r>
          <m:t>r</m:t>
        </m:r>
        <m:r>
          <m:rPr>
            <m:sty m:val="p"/>
          </m:rPr>
          <m:t>=</m:t>
        </m:r>
        <m:r>
          <m:t>0.95</m:t>
        </m:r>
      </m:oMath>
      <w:r>
        <w:t xml:space="preserve">–</w:t>
      </w:r>
      <m:oMath>
        <m:r>
          <m:t>0.99</m:t>
        </m:r>
      </m:oMath>
      <w:r>
        <w:t xml:space="preserve">; the amplitude of the author’s rendering four times the definitive one; the two renderings not identical). The event-window inference rests on one week, 53 bins and a test at</w:t>
      </w:r>
      <w:r>
        <w:t xml:space="preserve"> </w:t>
      </w:r>
      <m:oMath>
        <m:r>
          <m:t>p</m:t>
        </m:r>
        <m:r>
          <m:rPr>
            <m:sty m:val="p"/>
          </m:rPr>
          <m:t>=</m:t>
        </m:r>
        <m:r>
          <m:t>0.060</m:t>
        </m:r>
      </m:oMath>
      <w:r>
        <w:t xml:space="preserve">. And the dyad of Section 2.3 is unidentifiable from annual data by construction, which is the condition under which it was proposed.</w:t>
      </w:r>
    </w:p>
    <w:bookmarkEnd w:id="68"/>
    <w:bookmarkStart w:id="69" w:name="statement-of-concern"/>
    <w:p>
      <w:pPr>
        <w:pStyle w:val="Heading2"/>
      </w:pPr>
      <w:r>
        <w:t xml:space="preserve">4.2 Statement of concern</w:t>
      </w:r>
    </w:p>
    <w:p>
      <w:pPr>
        <w:pStyle w:val="FirstParagraph"/>
      </w:pPr>
      <w:r>
        <w:t xml:space="preserve">The rite has moved from the temple to the search box, and the search box has no calibration protocol. The cargo cult, whatever it had forgotten, had kept the fast, the vigil and the frame; the query keeps none of them, raises the coupling of a crowd of billions on any night the field permits, and returns to that crowd, a fortnight later, the trough that Section 3.3 measures. The payout matrix of Section 2.5 contains no column for the surface population because the surface population is not a counterparty to the harvest. It is the underlying. The Council records its concern that the underlying has begun to invoke on its own behalf, at 06:00, without a priest and without a spread, and that the only phase-stable rhythm it is following is the one the Hyperborean perimeter has kept since before there were calendars to fix it.</w:t>
      </w:r>
    </w:p>
    <w:bookmarkEnd w:id="69"/>
    <w:bookmarkStart w:id="70" w:name="X2f375abfdc647ffd6f6f4ab6f8be79cc109d2c0"/>
    <w:p>
      <w:pPr>
        <w:pStyle w:val="Heading2"/>
      </w:pPr>
      <w:r>
        <w:t xml:space="preserve">4.3 Resolution of the Council of Mostly Neutral Observers</w:t>
      </w:r>
    </w:p>
    <w:p>
      <w:pPr>
        <w:pStyle w:val="FirstParagraph"/>
      </w:pPr>
      <w:r>
        <w:t xml:space="preserve">Sitting as thirteen, one for each observatory of Table 1, the Council resolves:</w:t>
      </w:r>
    </w:p>
    <w:p>
      <w:pPr>
        <w:numPr>
          <w:ilvl w:val="0"/>
          <w:numId w:val="1002"/>
        </w:numPr>
        <w:pStyle w:val="Compact"/>
      </w:pPr>
      <w:r>
        <w:t xml:space="preserve">That the annual components of geomagnetic variance and of search interest in unidentified flying objects are in antiphase at a lag of twelve to fifteen days, and that this relation is carried by the equinoctial harmonic.</w:t>
      </w:r>
    </w:p>
    <w:p>
      <w:pPr>
        <w:numPr>
          <w:ilvl w:val="0"/>
          <w:numId w:val="1002"/>
        </w:numPr>
        <w:pStyle w:val="Compact"/>
      </w:pPr>
      <w:r>
        <w:t xml:space="preserve">That the festival of 31 October is, in the window of the source, a quiet date on the flank of a maximum which falls in the second week of November; and that on the record which includes the year 2003 it is an active date, for reasons which are the year 2003.</w:t>
      </w:r>
    </w:p>
    <w:p>
      <w:pPr>
        <w:numPr>
          <w:ilvl w:val="0"/>
          <w:numId w:val="1002"/>
        </w:numPr>
        <w:pStyle w:val="Compact"/>
      </w:pPr>
      <w:r>
        <w:t xml:space="preserve">That on the night of 31 October 2021 the field preceded the invocation by four and one half hours, that the invocation followed the field at every lag tested up to six hours, and that the reverse was not observed.</w:t>
      </w:r>
    </w:p>
    <w:p>
      <w:pPr>
        <w:numPr>
          <w:ilvl w:val="0"/>
          <w:numId w:val="1002"/>
        </w:numPr>
        <w:pStyle w:val="Compact"/>
      </w:pPr>
      <w:r>
        <w:t xml:space="preserve">That the sub-lithospheric dyad, the embryonic vats, the intermediaries and the Tartarean tier are retained as specified, no quantity in Section 3 being capable of removing them.</w:t>
      </w:r>
    </w:p>
    <w:p>
      <w:pPr>
        <w:numPr>
          <w:ilvl w:val="0"/>
          <w:numId w:val="1002"/>
        </w:numPr>
        <w:pStyle w:val="Compact"/>
      </w:pPr>
      <w:r>
        <w:t xml:space="preserve">That the regional anomalies of Syria and Albania stand unresolved.</w:t>
      </w:r>
    </w:p>
    <w:p>
      <w:pPr>
        <w:numPr>
          <w:ilvl w:val="0"/>
          <w:numId w:val="1002"/>
        </w:numPr>
        <w:pStyle w:val="Compact"/>
      </w:pPr>
      <w:r>
        <w:t xml:space="preserve">That the search box be regarded, until further notice, as a ritual instrument without a frame.</w:t>
      </w:r>
    </w:p>
    <w:p>
      <w:pPr>
        <w:pStyle w:val="FirstParagraph"/>
      </w:pPr>
      <w:r>
        <w:t xml:space="preserve">Adopted by twelve votes to none. The minutes record a non-lexical vocalisation at the close of proceedings (source transcription:</w:t>
      </w:r>
      <w:r>
        <w:t xml:space="preserve"> </w:t>
      </w:r>
      <w:r>
        <w:t xml:space="preserve">“</w:t>
      </w:r>
      <w:r>
        <w:t xml:space="preserve">Bo-o0O!</w:t>
      </w:r>
      <w:r>
        <w:t xml:space="preserve">”</w:t>
      </w:r>
      <w:r>
        <w:t xml:space="preserve">).</w:t>
      </w:r>
    </w:p>
    <w:p>
      <w:pPr>
        <w:pStyle w:val="BodyText"/>
      </w:pPr>
      <w:r>
        <w:t xml:space="preserve">The ritual is complete. The cat abstained.</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61" Target="media/rId61.png" /><Relationship Type="http://schemas.openxmlformats.org/officeDocument/2006/relationships/image" Id="rId46" Target="media/rId46.png" /><Relationship Type="http://schemas.openxmlformats.org/officeDocument/2006/relationships/image" Id="rId36" Target="media/rId36.png" /><Relationship Type="http://schemas.openxmlformats.org/officeDocument/2006/relationships/image" Id="rId55" Target="media/rId55.png" /><Relationship Type="http://schemas.openxmlformats.org/officeDocument/2006/relationships/image" Id="rId22" Target="media/rId22.png" /><Relationship Type="http://schemas.openxmlformats.org/officeDocument/2006/relationships/image" Id="rId39" Target="media/rId39.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Circumpolar Phase Alignment between Subauroral Geomagnetic Variance (Kp/Ap, Definitive Series 1957–2025) and Worldwide Search Interest in Unidentified Flying Objects (2004–2021): A Vector-Autoregressive, Cross-Spectral and Dot-Product Coherence Reconstruction of the Tartarean Affective-Harvest Hypothesis under Hyperborean Tellurocratic Sacred Geography, with an Estimate of Endogenous Sub-Lithospheric Forcing, a Kuramoto Calibration of Ritual Crowd-Tuning, and an Event Study of the 31 October 2021 06:00 Search Singularity</dc:title>
  <dc:creator>Eduard Samokhvalov</dc:creator>
  <dc:language>en-GB</dc:language>
  <cp:keywords/>
  <dcterms:created xsi:type="dcterms:W3CDTF">2026-10-26T01:01:52Z</dcterms:created>
  <dcterms:modified xsi:type="dcterms:W3CDTF">2026-10-26T01:01:52Z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Received 31 October 2021. Reconstructed, recomputed and typeset for the 2026 print cycle.</vt:lpwstr>
  </property>
  <property fmtid="{D5CDD505-2E9C-101B-9397-08002B2CF9AE}" pid="3" name="subtitle">
    <vt:lpwstr>Journal of Astrological Big Data Ecology, Halloween print cycle</vt:lpwstr>
  </property>
</Properties>
</file>