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2C7712"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Clarification Memo – Response to Performance Review Feedback</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Date:</w:t>
      </w:r>
      <w:r w:rsidRPr="00BB0412">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20</w:t>
      </w:r>
      <w:r w:rsidRPr="00BB0412">
        <w:rPr>
          <w:rFonts w:ascii="Times New Roman" w:eastAsia="Times New Roman" w:hAnsi="Times New Roman" w:cs="Times New Roman"/>
          <w:sz w:val="24"/>
          <w:szCs w:val="24"/>
          <w:vertAlign w:val="superscript"/>
          <w:lang w:eastAsia="en-AU"/>
        </w:rPr>
        <w:t>th</w:t>
      </w:r>
      <w:r>
        <w:rPr>
          <w:rFonts w:ascii="Times New Roman" w:eastAsia="Times New Roman" w:hAnsi="Times New Roman" w:cs="Times New Roman"/>
          <w:sz w:val="24"/>
          <w:szCs w:val="24"/>
          <w:lang w:eastAsia="en-AU"/>
        </w:rPr>
        <w:t xml:space="preserve"> May 2025</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Prepared by:</w:t>
      </w:r>
      <w:r w:rsidRPr="00BB0412">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Y</w:t>
      </w:r>
      <w:proofErr w:type="spellStart"/>
      <w:r>
        <w:rPr>
          <w:rFonts w:ascii="Times New Roman" w:eastAsia="Times New Roman" w:hAnsi="Times New Roman" w:cs="Times New Roman"/>
          <w:sz w:val="24"/>
          <w:szCs w:val="24"/>
          <w:lang w:eastAsia="en-AU"/>
        </w:rPr>
        <w:t>eu</w:t>
      </w:r>
      <w:proofErr w:type="spellEnd"/>
      <w:r>
        <w:rPr>
          <w:rFonts w:ascii="Times New Roman" w:eastAsia="Times New Roman" w:hAnsi="Times New Roman" w:cs="Times New Roman"/>
          <w:sz w:val="24"/>
          <w:szCs w:val="24"/>
          <w:lang w:eastAsia="en-AU"/>
        </w:rPr>
        <w:t xml:space="preserve"> Wen Mak (with the help from ChatGPT)</w:t>
      </w:r>
      <w:bookmarkStart w:id="0" w:name="_GoBack"/>
      <w:bookmarkEnd w:id="0"/>
    </w:p>
    <w:p w14:paraId="79E0C9EC"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pict w14:anchorId="073ACEE9">
          <v:rect id="_x0000_i1025" style="width:0;height:1.5pt" o:hralign="center" o:hrstd="t" o:hr="t" fillcolor="#a0a0a0" stroked="f"/>
        </w:pict>
      </w:r>
    </w:p>
    <w:p w14:paraId="3FAF6183" w14:textId="77777777" w:rsidR="00BB0412" w:rsidRPr="00BB0412" w:rsidRDefault="00BB0412" w:rsidP="00BB0412">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BB0412">
        <w:rPr>
          <w:rFonts w:ascii="Times New Roman" w:eastAsia="Times New Roman" w:hAnsi="Times New Roman" w:cs="Times New Roman"/>
          <w:b/>
          <w:bCs/>
          <w:sz w:val="27"/>
          <w:szCs w:val="27"/>
          <w:lang w:eastAsia="en-AU"/>
        </w:rPr>
        <w:t>Context</w:t>
      </w:r>
    </w:p>
    <w:p w14:paraId="463CC551"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This document is provided as a factual clarification to supplement the feedback received during my performance review on 8 May 2025. My intention is to respectfully explain the rationale behind certain decisions and highlight relevant actions that were aligned with the instructions I was given throughout the project.</w:t>
      </w:r>
    </w:p>
    <w:p w14:paraId="246A8F64"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At the heart of my approach was a deliberate "spiral development" model guided by a clear security tiering framework. In practice, this meant beginning the project in a lower-security, high-flexibility environment using synthetic data to explore methods, tools, and pipeline components—then progressively refining, validating, and migrating those components into higher-security environments (ultimately within the AGD’s fully locked-down infrastructure) as the solution solidified.</w:t>
      </w:r>
    </w:p>
    <w:p w14:paraId="270BB670"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This tiered strategy enabled me to meet AGD’s stringent security obligations while still giving room for essential early experimentation—particularly important for a task as open-ended as designing a summarisation pipeline for hundreds of semi-structured, lengthy public submissions. This context explains the rationale behind how the project evolved and helps frame my response to the five core feedback themes listed below.</w:t>
      </w:r>
    </w:p>
    <w:p w14:paraId="0762A8A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pict w14:anchorId="76207BD6">
          <v:rect id="_x0000_i1026" style="width:0;height:1.5pt" o:hralign="center" o:hrstd="t" o:hr="t" fillcolor="#a0a0a0" stroked="f"/>
        </w:pict>
      </w:r>
    </w:p>
    <w:p w14:paraId="6EEBD5F8" w14:textId="77777777" w:rsidR="00BB0412" w:rsidRPr="00BB0412" w:rsidRDefault="00BB0412" w:rsidP="00BB0412">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BB0412">
        <w:rPr>
          <w:rFonts w:ascii="Times New Roman" w:eastAsia="Times New Roman" w:hAnsi="Times New Roman" w:cs="Times New Roman"/>
          <w:b/>
          <w:bCs/>
          <w:sz w:val="27"/>
          <w:szCs w:val="27"/>
          <w:lang w:eastAsia="en-AU"/>
        </w:rPr>
        <w:t>Clarifications by Theme</w:t>
      </w:r>
    </w:p>
    <w:p w14:paraId="687C6EBF" w14:textId="77777777" w:rsidR="00BB0412" w:rsidRPr="00BB0412" w:rsidRDefault="00BB0412" w:rsidP="00BB0412">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1. Communication</w:t>
      </w:r>
    </w:p>
    <w:p w14:paraId="08B185B5"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Feedback:</w:t>
      </w:r>
      <w:r w:rsidRPr="00BB0412">
        <w:rPr>
          <w:rFonts w:ascii="Times New Roman" w:eastAsia="Times New Roman" w:hAnsi="Times New Roman" w:cs="Times New Roman"/>
          <w:sz w:val="24"/>
          <w:szCs w:val="24"/>
          <w:lang w:eastAsia="en-AU"/>
        </w:rPr>
        <w:t xml:space="preserve"> Tendency to over-communicate; emails appeared AI-written.</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Clarification:</w:t>
      </w:r>
      <w:r w:rsidRPr="00BB0412">
        <w:rPr>
          <w:rFonts w:ascii="Times New Roman" w:eastAsia="Times New Roman" w:hAnsi="Times New Roman" w:cs="Times New Roman"/>
          <w:sz w:val="24"/>
          <w:szCs w:val="24"/>
          <w:lang w:eastAsia="en-AU"/>
        </w:rPr>
        <w:t xml:space="preserve"> The perception of over- or under-communication often arises from differing worldviews between writer and reader, especially in written formats like email that lack non-verbal cues. During the exploratory phase, I chose to provide comprehensive documentation to establish clarity in a complex, evolving technical space. As the scope narrowed, I transitioned to more concise, outcome-oriented reporting. My use of </w:t>
      </w:r>
      <w:proofErr w:type="spellStart"/>
      <w:r w:rsidRPr="00BB0412">
        <w:rPr>
          <w:rFonts w:ascii="Times New Roman" w:eastAsia="Times New Roman" w:hAnsi="Times New Roman" w:cs="Times New Roman"/>
          <w:sz w:val="24"/>
          <w:szCs w:val="24"/>
          <w:lang w:eastAsia="en-AU"/>
        </w:rPr>
        <w:t>GenAI</w:t>
      </w:r>
      <w:proofErr w:type="spellEnd"/>
      <w:r w:rsidRPr="00BB0412">
        <w:rPr>
          <w:rFonts w:ascii="Times New Roman" w:eastAsia="Times New Roman" w:hAnsi="Times New Roman" w:cs="Times New Roman"/>
          <w:sz w:val="24"/>
          <w:szCs w:val="24"/>
          <w:lang w:eastAsia="en-AU"/>
        </w:rPr>
        <w:t xml:space="preserve"> in communication was never to outsource authorship, but rather to engage in deep reflective conversations that refined my ideas—analogous to consulting a second opinion. Ultimately, message clarity depends on mutual understanding, which is not always achievable unless both parties share contextual alignment from the outset.</w:t>
      </w:r>
    </w:p>
    <w:p w14:paraId="1D632EF2" w14:textId="77777777" w:rsidR="00BB0412" w:rsidRPr="00BB0412" w:rsidRDefault="00BB0412" w:rsidP="00BB0412">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2. Security &amp; Data Handling</w:t>
      </w:r>
    </w:p>
    <w:p w14:paraId="010CCA9E"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Feedback:</w:t>
      </w:r>
      <w:r w:rsidRPr="00BB0412">
        <w:rPr>
          <w:rFonts w:ascii="Times New Roman" w:eastAsia="Times New Roman" w:hAnsi="Times New Roman" w:cs="Times New Roman"/>
          <w:sz w:val="24"/>
          <w:szCs w:val="24"/>
          <w:lang w:eastAsia="en-AU"/>
        </w:rPr>
        <w:t xml:space="preserve"> Used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with AGD data; accessed AWS from an unsecured device.</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Clarification:</w:t>
      </w:r>
      <w:r w:rsidRPr="00BB0412">
        <w:rPr>
          <w:rFonts w:ascii="Times New Roman" w:eastAsia="Times New Roman" w:hAnsi="Times New Roman" w:cs="Times New Roman"/>
          <w:sz w:val="24"/>
          <w:szCs w:val="24"/>
          <w:lang w:eastAsia="en-AU"/>
        </w:rPr>
        <w:t xml:space="preserve"> Upon receiving updated security instructions on </w:t>
      </w:r>
      <w:r w:rsidRPr="00BB0412">
        <w:rPr>
          <w:rFonts w:ascii="Times New Roman" w:eastAsia="Times New Roman" w:hAnsi="Times New Roman" w:cs="Times New Roman"/>
          <w:b/>
          <w:bCs/>
          <w:sz w:val="24"/>
          <w:szCs w:val="24"/>
          <w:lang w:eastAsia="en-AU"/>
        </w:rPr>
        <w:t>17 March</w:t>
      </w:r>
      <w:r w:rsidRPr="00BB0412">
        <w:rPr>
          <w:rFonts w:ascii="Times New Roman" w:eastAsia="Times New Roman" w:hAnsi="Times New Roman" w:cs="Times New Roman"/>
          <w:sz w:val="24"/>
          <w:szCs w:val="24"/>
          <w:lang w:eastAsia="en-AU"/>
        </w:rPr>
        <w:t xml:space="preserve">, I adopted a phased transition strategy in line with my broader spiral approach founded on a tiered security framework. Although I never explicitly described it as such in my weekly updates, I consistently operated under this principle from the outset. For example, my weekly updates from late March reflected dual-environment experimentation, noting issues such as package incompatibility between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and AWS. Because I was still in the process of identifying a viable approach to the summarisation task, I chose to experiment in Google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using public submission data—focusing on model reasoning capabilities, data segmentation logic, and small-model testing. This aligned with Tier 5 in my development model: leveraging a high-flexibility, low-security setting with non-sensitive data for rapid innovation. My intention was to refine the core methodology in this resource-rich environment, and then upload those prototype notebooks into AWS (Tier 2) to scale and handle the full dataset securely. As the submissions were already publicly accessible, I assessed the risk as </w:t>
      </w:r>
      <w:r w:rsidRPr="00BB0412">
        <w:rPr>
          <w:rFonts w:ascii="Times New Roman" w:eastAsia="Times New Roman" w:hAnsi="Times New Roman" w:cs="Times New Roman"/>
          <w:sz w:val="24"/>
          <w:szCs w:val="24"/>
          <w:lang w:eastAsia="en-AU"/>
        </w:rPr>
        <w:lastRenderedPageBreak/>
        <w:t xml:space="preserve">minimal and consistent with the spirit of the task, which emphasized understanding and practicing secure workflows. While not synthetic, the data was non-sensitive and this </w:t>
      </w:r>
      <w:proofErr w:type="spellStart"/>
      <w:r w:rsidRPr="00BB0412">
        <w:rPr>
          <w:rFonts w:ascii="Times New Roman" w:eastAsia="Times New Roman" w:hAnsi="Times New Roman" w:cs="Times New Roman"/>
          <w:sz w:val="24"/>
          <w:szCs w:val="24"/>
          <w:lang w:eastAsia="en-AU"/>
        </w:rPr>
        <w:t>tradeoff</w:t>
      </w:r>
      <w:proofErr w:type="spellEnd"/>
      <w:r w:rsidRPr="00BB0412">
        <w:rPr>
          <w:rFonts w:ascii="Times New Roman" w:eastAsia="Times New Roman" w:hAnsi="Times New Roman" w:cs="Times New Roman"/>
          <w:sz w:val="24"/>
          <w:szCs w:val="24"/>
          <w:lang w:eastAsia="en-AU"/>
        </w:rPr>
        <w:t xml:space="preserve"> enabled rapid progress on the most uncertain elements of the project before shifting to full execution in the locked-down AGD environment.</w:t>
      </w:r>
    </w:p>
    <w:p w14:paraId="62C5B490" w14:textId="77777777" w:rsidR="00BB0412" w:rsidRPr="00BB0412" w:rsidRDefault="00BB0412" w:rsidP="00BB0412">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3. Instruction-Following</w:t>
      </w:r>
    </w:p>
    <w:p w14:paraId="55ACD5C0"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Feedback:</w:t>
      </w:r>
      <w:r w:rsidRPr="00BB0412">
        <w:rPr>
          <w:rFonts w:ascii="Times New Roman" w:eastAsia="Times New Roman" w:hAnsi="Times New Roman" w:cs="Times New Roman"/>
          <w:sz w:val="24"/>
          <w:szCs w:val="24"/>
          <w:lang w:eastAsia="en-AU"/>
        </w:rPr>
        <w:t xml:space="preserve"> Built reusable pipeline outside scope; contacted ANU without approval.</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Clarification:</w:t>
      </w:r>
      <w:r w:rsidRPr="00BB0412">
        <w:rPr>
          <w:rFonts w:ascii="Times New Roman" w:eastAsia="Times New Roman" w:hAnsi="Times New Roman" w:cs="Times New Roman"/>
          <w:sz w:val="24"/>
          <w:szCs w:val="24"/>
          <w:lang w:eastAsia="en-AU"/>
        </w:rPr>
        <w:t xml:space="preserve"> Each instruction, from extraction to summarisation, was followed and executed within the secure environment as specified. However, my broader design approach—spiralling from exploratory prototyping to secure production deployment—was not fully aligned with the more linear, instruction-bound approach expected. This divergence contributed to the perception of going "off scope." My early exploration of reusability and broader system options was rooted in trying to establish where boundaries should lie, much like performing literature review before narrowing a research question. Once the scope was clearly set, I conformed accordingly.</w:t>
      </w:r>
    </w:p>
    <w:p w14:paraId="6290F918"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On the ANU point, I accept that prior approval should have been sought. At the time, I was new in the role and did not fully appreciate the importance of seeking supervisory clearance for what I saw as an infrastructure access inquiry, motivated by the potential for leveraging shared public service computing platforms. No further engagement occurred after clarification.</w:t>
      </w:r>
    </w:p>
    <w:p w14:paraId="6EB0FF75"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While I did not follow the advice to disregard AWS cost considerations, I believed that extensive trial-and-error experimentation in AWS—on public funds—was not justified when faster exploration using public tools and data could achieve the same goal during early phases.</w:t>
      </w:r>
    </w:p>
    <w:p w14:paraId="1745215E" w14:textId="77777777" w:rsidR="00BB0412" w:rsidRPr="00BB0412" w:rsidRDefault="00BB0412" w:rsidP="00BB0412">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4. Seeking Advice</w:t>
      </w:r>
    </w:p>
    <w:p w14:paraId="521DE259"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Feedback:</w:t>
      </w:r>
      <w:r w:rsidRPr="00BB0412">
        <w:rPr>
          <w:rFonts w:ascii="Times New Roman" w:eastAsia="Times New Roman" w:hAnsi="Times New Roman" w:cs="Times New Roman"/>
          <w:sz w:val="24"/>
          <w:szCs w:val="24"/>
          <w:lang w:eastAsia="en-AU"/>
        </w:rPr>
        <w:t xml:space="preserve"> Did not escalate blockers or seek guidance early.</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Clarification:</w:t>
      </w:r>
      <w:r w:rsidRPr="00BB0412">
        <w:rPr>
          <w:rFonts w:ascii="Times New Roman" w:eastAsia="Times New Roman" w:hAnsi="Times New Roman" w:cs="Times New Roman"/>
          <w:sz w:val="24"/>
          <w:szCs w:val="24"/>
          <w:lang w:eastAsia="en-AU"/>
        </w:rPr>
        <w:t xml:space="preserve"> I proactively sought feedback after key submissions (e.g., </w:t>
      </w:r>
      <w:r w:rsidRPr="00BB0412">
        <w:rPr>
          <w:rFonts w:ascii="Times New Roman" w:eastAsia="Times New Roman" w:hAnsi="Times New Roman" w:cs="Times New Roman"/>
          <w:b/>
          <w:bCs/>
          <w:sz w:val="24"/>
          <w:szCs w:val="24"/>
          <w:lang w:eastAsia="en-AU"/>
        </w:rPr>
        <w:t>11 March</w:t>
      </w:r>
      <w:r w:rsidRPr="00BB0412">
        <w:rPr>
          <w:rFonts w:ascii="Times New Roman" w:eastAsia="Times New Roman" w:hAnsi="Times New Roman" w:cs="Times New Roman"/>
          <w:sz w:val="24"/>
          <w:szCs w:val="24"/>
          <w:lang w:eastAsia="en-AU"/>
        </w:rPr>
        <w:t xml:space="preserve">, </w:t>
      </w:r>
      <w:r w:rsidRPr="00BB0412">
        <w:rPr>
          <w:rFonts w:ascii="Times New Roman" w:eastAsia="Times New Roman" w:hAnsi="Times New Roman" w:cs="Times New Roman"/>
          <w:b/>
          <w:bCs/>
          <w:sz w:val="24"/>
          <w:szCs w:val="24"/>
          <w:lang w:eastAsia="en-AU"/>
        </w:rPr>
        <w:t>13 March</w:t>
      </w:r>
      <w:r w:rsidRPr="00BB0412">
        <w:rPr>
          <w:rFonts w:ascii="Times New Roman" w:eastAsia="Times New Roman" w:hAnsi="Times New Roman" w:cs="Times New Roman"/>
          <w:sz w:val="24"/>
          <w:szCs w:val="24"/>
          <w:lang w:eastAsia="en-AU"/>
        </w:rPr>
        <w:t>) and requested clarification before merging mixed-response formats. During the early discovery phase, many potential paths had to be explored to understand the range of options being pursued in the research community. I treated these as problems of personal orientation, not organisational bottlenecks, and thus did not escalate them for supervisory advice. My design decisions—such as model selection, summary formatting, and test-time strategies—were preference-driven and rooted in my tiered spiral approach. I recognise that this autonomy may have created a perception of limited advice-seeking. Once concrete blockers emerged or scope boundaries were confirmed, I raised relevant issues accordingly.</w:t>
      </w:r>
    </w:p>
    <w:p w14:paraId="5F8149F2" w14:textId="77777777" w:rsidR="00BB0412" w:rsidRPr="00BB0412" w:rsidRDefault="00BB0412" w:rsidP="00BB0412">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5. Time Management &amp; Execution</w:t>
      </w:r>
    </w:p>
    <w:p w14:paraId="7DFEAC0A"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Feedback:</w:t>
      </w:r>
      <w:r w:rsidRPr="00BB0412">
        <w:rPr>
          <w:rFonts w:ascii="Times New Roman" w:eastAsia="Times New Roman" w:hAnsi="Times New Roman" w:cs="Times New Roman"/>
          <w:sz w:val="24"/>
          <w:szCs w:val="24"/>
          <w:lang w:eastAsia="en-AU"/>
        </w:rPr>
        <w:t xml:space="preserve"> Missed meeting; did not flag delays; over-engineered the solution.</w:t>
      </w:r>
      <w:r w:rsidRPr="00BB0412">
        <w:rPr>
          <w:rFonts w:ascii="Times New Roman" w:eastAsia="Times New Roman" w:hAnsi="Times New Roman" w:cs="Times New Roman"/>
          <w:sz w:val="24"/>
          <w:szCs w:val="24"/>
          <w:lang w:eastAsia="en-AU"/>
        </w:rPr>
        <w:br/>
      </w:r>
      <w:r w:rsidRPr="00BB0412">
        <w:rPr>
          <w:rFonts w:ascii="Times New Roman" w:eastAsia="Times New Roman" w:hAnsi="Times New Roman" w:cs="Times New Roman"/>
          <w:b/>
          <w:bCs/>
          <w:sz w:val="24"/>
          <w:szCs w:val="24"/>
          <w:lang w:eastAsia="en-AU"/>
        </w:rPr>
        <w:t>Clarification:</w:t>
      </w:r>
      <w:r w:rsidRPr="00BB0412">
        <w:rPr>
          <w:rFonts w:ascii="Times New Roman" w:eastAsia="Times New Roman" w:hAnsi="Times New Roman" w:cs="Times New Roman"/>
          <w:sz w:val="24"/>
          <w:szCs w:val="24"/>
          <w:lang w:eastAsia="en-AU"/>
        </w:rPr>
        <w:t xml:space="preserve"> I submitted </w:t>
      </w:r>
      <w:r w:rsidRPr="00BB0412">
        <w:rPr>
          <w:rFonts w:ascii="Times New Roman" w:eastAsia="Times New Roman" w:hAnsi="Times New Roman" w:cs="Times New Roman"/>
          <w:b/>
          <w:bCs/>
          <w:sz w:val="24"/>
          <w:szCs w:val="24"/>
          <w:lang w:eastAsia="en-AU"/>
        </w:rPr>
        <w:t>weekly reports</w:t>
      </w:r>
      <w:r w:rsidRPr="00BB0412">
        <w:rPr>
          <w:rFonts w:ascii="Times New Roman" w:eastAsia="Times New Roman" w:hAnsi="Times New Roman" w:cs="Times New Roman"/>
          <w:sz w:val="24"/>
          <w:szCs w:val="24"/>
          <w:lang w:eastAsia="en-AU"/>
        </w:rPr>
        <w:t xml:space="preserve"> continuously from </w:t>
      </w:r>
      <w:r w:rsidRPr="00BB0412">
        <w:rPr>
          <w:rFonts w:ascii="Times New Roman" w:eastAsia="Times New Roman" w:hAnsi="Times New Roman" w:cs="Times New Roman"/>
          <w:b/>
          <w:bCs/>
          <w:sz w:val="24"/>
          <w:szCs w:val="24"/>
          <w:lang w:eastAsia="en-AU"/>
        </w:rPr>
        <w:t>21 February to 2 May</w:t>
      </w:r>
      <w:r w:rsidRPr="00BB0412">
        <w:rPr>
          <w:rFonts w:ascii="Times New Roman" w:eastAsia="Times New Roman" w:hAnsi="Times New Roman" w:cs="Times New Roman"/>
          <w:sz w:val="24"/>
          <w:szCs w:val="24"/>
          <w:lang w:eastAsia="en-AU"/>
        </w:rPr>
        <w:t xml:space="preserve">. On </w:t>
      </w:r>
      <w:r w:rsidRPr="00BB0412">
        <w:rPr>
          <w:rFonts w:ascii="Times New Roman" w:eastAsia="Times New Roman" w:hAnsi="Times New Roman" w:cs="Times New Roman"/>
          <w:b/>
          <w:bCs/>
          <w:sz w:val="24"/>
          <w:szCs w:val="24"/>
          <w:lang w:eastAsia="en-AU"/>
        </w:rPr>
        <w:t>28 April</w:t>
      </w:r>
      <w:r w:rsidRPr="00BB0412">
        <w:rPr>
          <w:rFonts w:ascii="Times New Roman" w:eastAsia="Times New Roman" w:hAnsi="Times New Roman" w:cs="Times New Roman"/>
          <w:sz w:val="24"/>
          <w:szCs w:val="24"/>
          <w:lang w:eastAsia="en-AU"/>
        </w:rPr>
        <w:t>, I submitted an interim progress report showing 289 out of ~485 responses had been processed. The agile approach I took to manage evolving scope and potential delays was to provide visibility into interim progress—allowing for supervisory course correction or scope limitation if needed. Due to multiple public holidays following the interim report and a lack of timely feedback, I continued exploring solution options, especially where I found the results unsatisfactory (e.g., LLMs failing to summarise specific inputs, ineffective chunking, or matching between unstructured PDFs and structured questions). While the task could have been completed sooner, my consistent priority was on learning and understanding the broader solution landscape, including research trends and emerging limitations.</w:t>
      </w:r>
    </w:p>
    <w:p w14:paraId="2E1B07C0"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If this had been a production project with fixed deadlines, I would have adjusted accordingly to deliver the best feasible solution within the scheduled milestones and then sought feedback for future phases. However, in this case, I assumed the value placed on deeper learning and capability-building justified the continued exploration, and I expected that frequent updates would enable early redirection if needed.</w:t>
      </w:r>
    </w:p>
    <w:p w14:paraId="5E051E0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lastRenderedPageBreak/>
        <w:pict w14:anchorId="573BAD9D">
          <v:rect id="_x0000_i1027" style="width:0;height:1.5pt" o:hralign="center" o:hrstd="t" o:hr="t" fillcolor="#a0a0a0" stroked="f"/>
        </w:pict>
      </w:r>
    </w:p>
    <w:p w14:paraId="055CCA42" w14:textId="77777777" w:rsidR="00BB0412" w:rsidRPr="00BB0412" w:rsidRDefault="00BB0412" w:rsidP="00BB0412">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BB0412">
        <w:rPr>
          <w:rFonts w:ascii="Times New Roman" w:eastAsia="Times New Roman" w:hAnsi="Times New Roman" w:cs="Times New Roman"/>
          <w:b/>
          <w:bCs/>
          <w:sz w:val="27"/>
          <w:szCs w:val="27"/>
          <w:lang w:eastAsia="en-AU"/>
        </w:rPr>
        <w:t>Attachments</w:t>
      </w:r>
    </w:p>
    <w:p w14:paraId="53C7FACD"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Attachment 1: Submission Timeline</w:t>
      </w:r>
      <w:r w:rsidRPr="00BB0412">
        <w:rPr>
          <w:rFonts w:ascii="Times New Roman" w:eastAsia="Times New Roman" w:hAnsi="Times New Roman" w:cs="Times New Roman"/>
          <w:sz w:val="24"/>
          <w:szCs w:val="24"/>
          <w:lang w:eastAsia="en-AU"/>
        </w:rPr>
        <w:br/>
        <w:t>A refreshed timeline of project milestones and activities without speculative tier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4920"/>
        <w:gridCol w:w="4508"/>
      </w:tblGrid>
      <w:tr w:rsidR="00BB0412" w:rsidRPr="00BB0412" w14:paraId="3BC3C70B" w14:textId="77777777" w:rsidTr="00BB0412">
        <w:trPr>
          <w:tblHeader/>
          <w:tblCellSpacing w:w="15" w:type="dxa"/>
        </w:trPr>
        <w:tc>
          <w:tcPr>
            <w:tcW w:w="0" w:type="auto"/>
            <w:vAlign w:val="center"/>
            <w:hideMark/>
          </w:tcPr>
          <w:p w14:paraId="39ED667C"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Date</w:t>
            </w:r>
          </w:p>
        </w:tc>
        <w:tc>
          <w:tcPr>
            <w:tcW w:w="0" w:type="auto"/>
            <w:vAlign w:val="center"/>
            <w:hideMark/>
          </w:tcPr>
          <w:p w14:paraId="63817EFB"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Milestone / Focus</w:t>
            </w:r>
          </w:p>
        </w:tc>
        <w:tc>
          <w:tcPr>
            <w:tcW w:w="0" w:type="auto"/>
            <w:vAlign w:val="center"/>
            <w:hideMark/>
          </w:tcPr>
          <w:p w14:paraId="79F15E83"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Notes</w:t>
            </w:r>
          </w:p>
        </w:tc>
      </w:tr>
      <w:tr w:rsidR="00BB0412" w:rsidRPr="00BB0412" w14:paraId="5870FEF1" w14:textId="77777777" w:rsidTr="00BB0412">
        <w:trPr>
          <w:tblCellSpacing w:w="15" w:type="dxa"/>
        </w:trPr>
        <w:tc>
          <w:tcPr>
            <w:tcW w:w="0" w:type="auto"/>
            <w:vAlign w:val="center"/>
            <w:hideMark/>
          </w:tcPr>
          <w:p w14:paraId="60B7C9C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21 Feb 2025</w:t>
            </w:r>
          </w:p>
        </w:tc>
        <w:tc>
          <w:tcPr>
            <w:tcW w:w="0" w:type="auto"/>
            <w:vAlign w:val="center"/>
            <w:hideMark/>
          </w:tcPr>
          <w:p w14:paraId="05C5073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Weekly report on text summarisation</w:t>
            </w:r>
          </w:p>
        </w:tc>
        <w:tc>
          <w:tcPr>
            <w:tcW w:w="0" w:type="auto"/>
            <w:vAlign w:val="center"/>
            <w:hideMark/>
          </w:tcPr>
          <w:p w14:paraId="72B3026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Initial scoping, literature review, summarisation prototype planning</w:t>
            </w:r>
          </w:p>
        </w:tc>
      </w:tr>
      <w:tr w:rsidR="00BB0412" w:rsidRPr="00BB0412" w14:paraId="1D591D73" w14:textId="77777777" w:rsidTr="00BB0412">
        <w:trPr>
          <w:tblCellSpacing w:w="15" w:type="dxa"/>
        </w:trPr>
        <w:tc>
          <w:tcPr>
            <w:tcW w:w="0" w:type="auto"/>
            <w:vAlign w:val="center"/>
            <w:hideMark/>
          </w:tcPr>
          <w:p w14:paraId="01F13A6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28 Feb 2025</w:t>
            </w:r>
          </w:p>
        </w:tc>
        <w:tc>
          <w:tcPr>
            <w:tcW w:w="0" w:type="auto"/>
            <w:vAlign w:val="center"/>
            <w:hideMark/>
          </w:tcPr>
          <w:p w14:paraId="1E59FC2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Task assigned: Analyse consultation responses by question</w:t>
            </w:r>
          </w:p>
        </w:tc>
        <w:tc>
          <w:tcPr>
            <w:tcW w:w="0" w:type="auto"/>
            <w:vAlign w:val="center"/>
            <w:hideMark/>
          </w:tcPr>
          <w:p w14:paraId="7D2C08C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Project formally scoped and problem statement defined</w:t>
            </w:r>
          </w:p>
        </w:tc>
      </w:tr>
      <w:tr w:rsidR="00BB0412" w:rsidRPr="00BB0412" w14:paraId="666D63E9" w14:textId="77777777" w:rsidTr="00BB0412">
        <w:trPr>
          <w:tblCellSpacing w:w="15" w:type="dxa"/>
        </w:trPr>
        <w:tc>
          <w:tcPr>
            <w:tcW w:w="0" w:type="auto"/>
            <w:vAlign w:val="center"/>
            <w:hideMark/>
          </w:tcPr>
          <w:p w14:paraId="7ECB7AF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7 Mar 2025</w:t>
            </w:r>
          </w:p>
        </w:tc>
        <w:tc>
          <w:tcPr>
            <w:tcW w:w="0" w:type="auto"/>
            <w:vAlign w:val="center"/>
            <w:hideMark/>
          </w:tcPr>
          <w:p w14:paraId="5F38A2A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Weekly report on response data extraction begins</w:t>
            </w:r>
          </w:p>
        </w:tc>
        <w:tc>
          <w:tcPr>
            <w:tcW w:w="0" w:type="auto"/>
            <w:vAlign w:val="center"/>
            <w:hideMark/>
          </w:tcPr>
          <w:p w14:paraId="1AC3D92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Started prototyping web scraping and response structure</w:t>
            </w:r>
          </w:p>
        </w:tc>
      </w:tr>
      <w:tr w:rsidR="00BB0412" w:rsidRPr="00BB0412" w14:paraId="333DF0C9" w14:textId="77777777" w:rsidTr="00BB0412">
        <w:trPr>
          <w:tblCellSpacing w:w="15" w:type="dxa"/>
        </w:trPr>
        <w:tc>
          <w:tcPr>
            <w:tcW w:w="0" w:type="auto"/>
            <w:vAlign w:val="center"/>
            <w:hideMark/>
          </w:tcPr>
          <w:p w14:paraId="0D9EBFD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11–14 Mar 2025</w:t>
            </w:r>
          </w:p>
        </w:tc>
        <w:tc>
          <w:tcPr>
            <w:tcW w:w="0" w:type="auto"/>
            <w:vAlign w:val="center"/>
            <w:hideMark/>
          </w:tcPr>
          <w:p w14:paraId="1E320E3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Submission of structured responses, feedback integration, and merged formats</w:t>
            </w:r>
          </w:p>
        </w:tc>
        <w:tc>
          <w:tcPr>
            <w:tcW w:w="0" w:type="auto"/>
            <w:vAlign w:val="center"/>
            <w:hideMark/>
          </w:tcPr>
          <w:p w14:paraId="01584AE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Multiple iterations to correct, enhance, and align formats with feedback</w:t>
            </w:r>
          </w:p>
        </w:tc>
      </w:tr>
      <w:tr w:rsidR="00BB0412" w:rsidRPr="00BB0412" w14:paraId="2E950E67" w14:textId="77777777" w:rsidTr="00BB0412">
        <w:trPr>
          <w:tblCellSpacing w:w="15" w:type="dxa"/>
        </w:trPr>
        <w:tc>
          <w:tcPr>
            <w:tcW w:w="0" w:type="auto"/>
            <w:vAlign w:val="center"/>
            <w:hideMark/>
          </w:tcPr>
          <w:p w14:paraId="6A4B0E5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17 Mar 2025</w:t>
            </w:r>
          </w:p>
        </w:tc>
        <w:tc>
          <w:tcPr>
            <w:tcW w:w="0" w:type="auto"/>
            <w:vAlign w:val="center"/>
            <w:hideMark/>
          </w:tcPr>
          <w:p w14:paraId="5C71CAE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New instructions: AWS-only processing with sensitivity protocols introduced</w:t>
            </w:r>
          </w:p>
        </w:tc>
        <w:tc>
          <w:tcPr>
            <w:tcW w:w="0" w:type="auto"/>
            <w:vAlign w:val="center"/>
            <w:hideMark/>
          </w:tcPr>
          <w:p w14:paraId="1480DC6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Migration to AWS for OCR and future summarisation tasks</w:t>
            </w:r>
          </w:p>
        </w:tc>
      </w:tr>
      <w:tr w:rsidR="00BB0412" w:rsidRPr="00BB0412" w14:paraId="4AC762EE" w14:textId="77777777" w:rsidTr="00BB0412">
        <w:trPr>
          <w:tblCellSpacing w:w="15" w:type="dxa"/>
        </w:trPr>
        <w:tc>
          <w:tcPr>
            <w:tcW w:w="0" w:type="auto"/>
            <w:vAlign w:val="center"/>
            <w:hideMark/>
          </w:tcPr>
          <w:p w14:paraId="27563FD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21 Mar 2025</w:t>
            </w:r>
          </w:p>
        </w:tc>
        <w:tc>
          <w:tcPr>
            <w:tcW w:w="0" w:type="auto"/>
            <w:vAlign w:val="center"/>
            <w:hideMark/>
          </w:tcPr>
          <w:p w14:paraId="32DCCED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Weekly report on AWS environment, LLM experimentation (</w:t>
            </w:r>
            <w:proofErr w:type="spellStart"/>
            <w:r w:rsidRPr="00BB0412">
              <w:rPr>
                <w:rFonts w:ascii="Times New Roman" w:eastAsia="Times New Roman" w:hAnsi="Times New Roman" w:cs="Times New Roman"/>
                <w:sz w:val="24"/>
                <w:szCs w:val="24"/>
                <w:lang w:eastAsia="en-AU"/>
              </w:rPr>
              <w:t>Qwen</w:t>
            </w:r>
            <w:proofErr w:type="spellEnd"/>
            <w:r w:rsidRPr="00BB0412">
              <w:rPr>
                <w:rFonts w:ascii="Times New Roman" w:eastAsia="Times New Roman" w:hAnsi="Times New Roman" w:cs="Times New Roman"/>
                <w:sz w:val="24"/>
                <w:szCs w:val="24"/>
                <w:lang w:eastAsia="en-AU"/>
              </w:rPr>
              <w:t>, Gemma, etc.)</w:t>
            </w:r>
          </w:p>
        </w:tc>
        <w:tc>
          <w:tcPr>
            <w:tcW w:w="0" w:type="auto"/>
            <w:vAlign w:val="center"/>
            <w:hideMark/>
          </w:tcPr>
          <w:p w14:paraId="5BF7C18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Set up models for in-environment testing; evaluated fit-for-purpose LLMs</w:t>
            </w:r>
          </w:p>
        </w:tc>
      </w:tr>
      <w:tr w:rsidR="00BB0412" w:rsidRPr="00BB0412" w14:paraId="13C3550B" w14:textId="77777777" w:rsidTr="00BB0412">
        <w:trPr>
          <w:tblCellSpacing w:w="15" w:type="dxa"/>
        </w:trPr>
        <w:tc>
          <w:tcPr>
            <w:tcW w:w="0" w:type="auto"/>
            <w:vAlign w:val="center"/>
            <w:hideMark/>
          </w:tcPr>
          <w:p w14:paraId="5E2B21F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28 Mar 2025</w:t>
            </w:r>
          </w:p>
        </w:tc>
        <w:tc>
          <w:tcPr>
            <w:tcW w:w="0" w:type="auto"/>
            <w:vAlign w:val="center"/>
            <w:hideMark/>
          </w:tcPr>
          <w:p w14:paraId="37C31B4F"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Initial summarisation test (response ID 838011019) and summarisation format submission</w:t>
            </w:r>
          </w:p>
        </w:tc>
        <w:tc>
          <w:tcPr>
            <w:tcW w:w="0" w:type="auto"/>
            <w:vAlign w:val="center"/>
            <w:hideMark/>
          </w:tcPr>
          <w:p w14:paraId="52FB74F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Prototype tested using small LLM; alignment with question structure</w:t>
            </w:r>
          </w:p>
        </w:tc>
      </w:tr>
      <w:tr w:rsidR="00BB0412" w:rsidRPr="00BB0412" w14:paraId="3B5385F4" w14:textId="77777777" w:rsidTr="00BB0412">
        <w:trPr>
          <w:tblCellSpacing w:w="15" w:type="dxa"/>
        </w:trPr>
        <w:tc>
          <w:tcPr>
            <w:tcW w:w="0" w:type="auto"/>
            <w:vAlign w:val="center"/>
            <w:hideMark/>
          </w:tcPr>
          <w:p w14:paraId="47A23FA4"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4–11 Apr 2025</w:t>
            </w:r>
          </w:p>
        </w:tc>
        <w:tc>
          <w:tcPr>
            <w:tcW w:w="0" w:type="auto"/>
            <w:vAlign w:val="center"/>
            <w:hideMark/>
          </w:tcPr>
          <w:p w14:paraId="36705CB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Partial structured response summarisation submitted and updated</w:t>
            </w:r>
          </w:p>
        </w:tc>
        <w:tc>
          <w:tcPr>
            <w:tcW w:w="0" w:type="auto"/>
            <w:vAlign w:val="center"/>
            <w:hideMark/>
          </w:tcPr>
          <w:p w14:paraId="0FA1555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Demonstrated summarisation feasibility at scale</w:t>
            </w:r>
          </w:p>
        </w:tc>
      </w:tr>
      <w:tr w:rsidR="00BB0412" w:rsidRPr="00BB0412" w14:paraId="2303EC07" w14:textId="77777777" w:rsidTr="00BB0412">
        <w:trPr>
          <w:tblCellSpacing w:w="15" w:type="dxa"/>
        </w:trPr>
        <w:tc>
          <w:tcPr>
            <w:tcW w:w="0" w:type="auto"/>
            <w:vAlign w:val="center"/>
            <w:hideMark/>
          </w:tcPr>
          <w:p w14:paraId="0E46C6F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10 Apr 2025</w:t>
            </w:r>
          </w:p>
        </w:tc>
        <w:tc>
          <w:tcPr>
            <w:tcW w:w="0" w:type="auto"/>
            <w:vAlign w:val="center"/>
            <w:hideMark/>
          </w:tcPr>
          <w:p w14:paraId="4C4AFB9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Mid-term PPI response submitted</w:t>
            </w:r>
          </w:p>
        </w:tc>
        <w:tc>
          <w:tcPr>
            <w:tcW w:w="0" w:type="auto"/>
            <w:vAlign w:val="center"/>
            <w:hideMark/>
          </w:tcPr>
          <w:p w14:paraId="73A1D8B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Self-reflection and milestone summary prepared for review</w:t>
            </w:r>
          </w:p>
        </w:tc>
      </w:tr>
      <w:tr w:rsidR="00BB0412" w:rsidRPr="00BB0412" w14:paraId="29C32D03" w14:textId="77777777" w:rsidTr="00BB0412">
        <w:trPr>
          <w:tblCellSpacing w:w="15" w:type="dxa"/>
        </w:trPr>
        <w:tc>
          <w:tcPr>
            <w:tcW w:w="0" w:type="auto"/>
            <w:vAlign w:val="center"/>
            <w:hideMark/>
          </w:tcPr>
          <w:p w14:paraId="688292A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24–28 Apr 2025</w:t>
            </w:r>
          </w:p>
        </w:tc>
        <w:tc>
          <w:tcPr>
            <w:tcW w:w="0" w:type="auto"/>
            <w:vAlign w:val="center"/>
            <w:hideMark/>
          </w:tcPr>
          <w:p w14:paraId="7440B66E"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Interim report on PDF batch summarisation progress (289 responses processed)</w:t>
            </w:r>
          </w:p>
        </w:tc>
        <w:tc>
          <w:tcPr>
            <w:tcW w:w="0" w:type="auto"/>
            <w:vAlign w:val="center"/>
            <w:hideMark/>
          </w:tcPr>
          <w:p w14:paraId="71A388C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Documented limitations, summarisation inconsistencies, and exploratory fixes</w:t>
            </w:r>
          </w:p>
        </w:tc>
      </w:tr>
      <w:tr w:rsidR="00BB0412" w:rsidRPr="00BB0412" w14:paraId="16D50B2B" w14:textId="77777777" w:rsidTr="00BB0412">
        <w:trPr>
          <w:tblCellSpacing w:w="15" w:type="dxa"/>
        </w:trPr>
        <w:tc>
          <w:tcPr>
            <w:tcW w:w="0" w:type="auto"/>
            <w:vAlign w:val="center"/>
            <w:hideMark/>
          </w:tcPr>
          <w:p w14:paraId="3FA2832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 May 2025</w:t>
            </w:r>
          </w:p>
        </w:tc>
        <w:tc>
          <w:tcPr>
            <w:tcW w:w="0" w:type="auto"/>
            <w:vAlign w:val="center"/>
            <w:hideMark/>
          </w:tcPr>
          <w:p w14:paraId="588EA924"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Weekly report on summarisation improvements, TTS strategies, hosted vs local LLM trade-offs</w:t>
            </w:r>
          </w:p>
        </w:tc>
        <w:tc>
          <w:tcPr>
            <w:tcW w:w="0" w:type="auto"/>
            <w:vAlign w:val="center"/>
            <w:hideMark/>
          </w:tcPr>
          <w:p w14:paraId="73FB9D7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Evaluation of operational performance trade-offs and compute environment flexibility</w:t>
            </w:r>
          </w:p>
        </w:tc>
      </w:tr>
    </w:tbl>
    <w:p w14:paraId="061A2CC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pict w14:anchorId="27803707">
          <v:rect id="_x0000_i1028" style="width:0;height:1.5pt" o:hralign="center" o:hrstd="t" o:hr="t" fillcolor="#a0a0a0" stroked="f"/>
        </w:pict>
      </w:r>
    </w:p>
    <w:p w14:paraId="353515C1"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Attachment 2: Task vs. Deliverable Mapping Table</w:t>
      </w:r>
      <w:r w:rsidRPr="00BB0412">
        <w:rPr>
          <w:rFonts w:ascii="Times New Roman" w:eastAsia="Times New Roman" w:hAnsi="Times New Roman" w:cs="Times New Roman"/>
          <w:sz w:val="24"/>
          <w:szCs w:val="24"/>
          <w:lang w:eastAsia="en-AU"/>
        </w:rPr>
        <w:br/>
        <w:t>Updated to reflect the evolving stages of the spiral model—from exploration to operationalisation.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699"/>
        <w:gridCol w:w="3168"/>
        <w:gridCol w:w="2851"/>
      </w:tblGrid>
      <w:tr w:rsidR="00BB0412" w:rsidRPr="00BB0412" w14:paraId="7418F09A" w14:textId="77777777" w:rsidTr="00BB0412">
        <w:trPr>
          <w:tblHeader/>
          <w:tblCellSpacing w:w="15" w:type="dxa"/>
        </w:trPr>
        <w:tc>
          <w:tcPr>
            <w:tcW w:w="0" w:type="auto"/>
            <w:vAlign w:val="center"/>
            <w:hideMark/>
          </w:tcPr>
          <w:p w14:paraId="509054D2"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Instruction / Task</w:t>
            </w:r>
          </w:p>
        </w:tc>
        <w:tc>
          <w:tcPr>
            <w:tcW w:w="0" w:type="auto"/>
            <w:vAlign w:val="center"/>
            <w:hideMark/>
          </w:tcPr>
          <w:p w14:paraId="4C12CF9C"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Phase / Tier</w:t>
            </w:r>
          </w:p>
        </w:tc>
        <w:tc>
          <w:tcPr>
            <w:tcW w:w="0" w:type="auto"/>
            <w:vAlign w:val="center"/>
            <w:hideMark/>
          </w:tcPr>
          <w:p w14:paraId="08B36CEA"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Matching Submission(s)</w:t>
            </w:r>
          </w:p>
        </w:tc>
        <w:tc>
          <w:tcPr>
            <w:tcW w:w="0" w:type="auto"/>
            <w:vAlign w:val="center"/>
            <w:hideMark/>
          </w:tcPr>
          <w:p w14:paraId="66660D4B"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Purpose</w:t>
            </w:r>
          </w:p>
        </w:tc>
      </w:tr>
      <w:tr w:rsidR="00BB0412" w:rsidRPr="00BB0412" w14:paraId="41BF7887" w14:textId="77777777" w:rsidTr="00BB0412">
        <w:trPr>
          <w:tblCellSpacing w:w="15" w:type="dxa"/>
        </w:trPr>
        <w:tc>
          <w:tcPr>
            <w:tcW w:w="0" w:type="auto"/>
            <w:vAlign w:val="center"/>
            <w:hideMark/>
          </w:tcPr>
          <w:p w14:paraId="7BD3358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Produce summary report by question for consultation responses</w:t>
            </w:r>
          </w:p>
        </w:tc>
        <w:tc>
          <w:tcPr>
            <w:tcW w:w="0" w:type="auto"/>
            <w:vAlign w:val="center"/>
            <w:hideMark/>
          </w:tcPr>
          <w:p w14:paraId="70B9B0B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Exploration (Tier 5)</w:t>
            </w:r>
          </w:p>
        </w:tc>
        <w:tc>
          <w:tcPr>
            <w:tcW w:w="0" w:type="auto"/>
            <w:vAlign w:val="center"/>
            <w:hideMark/>
          </w:tcPr>
          <w:p w14:paraId="1EBC741C"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28 Feb task assigned; 7–14 Mar extraction, formatting, and free-text merging</w:t>
            </w:r>
          </w:p>
        </w:tc>
        <w:tc>
          <w:tcPr>
            <w:tcW w:w="0" w:type="auto"/>
            <w:vAlign w:val="center"/>
            <w:hideMark/>
          </w:tcPr>
          <w:p w14:paraId="3EBF08C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Problem scoping and initial discovery</w:t>
            </w:r>
          </w:p>
        </w:tc>
      </w:tr>
      <w:tr w:rsidR="00BB0412" w:rsidRPr="00BB0412" w14:paraId="0A96D7C2" w14:textId="77777777" w:rsidTr="00BB0412">
        <w:trPr>
          <w:tblCellSpacing w:w="15" w:type="dxa"/>
        </w:trPr>
        <w:tc>
          <w:tcPr>
            <w:tcW w:w="0" w:type="auto"/>
            <w:vAlign w:val="center"/>
            <w:hideMark/>
          </w:tcPr>
          <w:p w14:paraId="697FB78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Download all PDFs and perform OCR in AWS; treat data and URLs as sensitive</w:t>
            </w:r>
          </w:p>
        </w:tc>
        <w:tc>
          <w:tcPr>
            <w:tcW w:w="0" w:type="auto"/>
            <w:vAlign w:val="center"/>
            <w:hideMark/>
          </w:tcPr>
          <w:p w14:paraId="63B0596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Transition (Tier 2)</w:t>
            </w:r>
          </w:p>
        </w:tc>
        <w:tc>
          <w:tcPr>
            <w:tcW w:w="0" w:type="auto"/>
            <w:vAlign w:val="center"/>
            <w:hideMark/>
          </w:tcPr>
          <w:p w14:paraId="7F62E0C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17 Mar AWS environment shift; 21 Mar setup and compliance alignment</w:t>
            </w:r>
          </w:p>
        </w:tc>
        <w:tc>
          <w:tcPr>
            <w:tcW w:w="0" w:type="auto"/>
            <w:vAlign w:val="center"/>
            <w:hideMark/>
          </w:tcPr>
          <w:p w14:paraId="0F56A8CF"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Harden solution into compliant infrastructure</w:t>
            </w:r>
          </w:p>
        </w:tc>
      </w:tr>
      <w:tr w:rsidR="00BB0412" w:rsidRPr="00BB0412" w14:paraId="5E09E059" w14:textId="77777777" w:rsidTr="00BB0412">
        <w:trPr>
          <w:tblCellSpacing w:w="15" w:type="dxa"/>
        </w:trPr>
        <w:tc>
          <w:tcPr>
            <w:tcW w:w="0" w:type="auto"/>
            <w:vAlign w:val="center"/>
            <w:hideMark/>
          </w:tcPr>
          <w:p w14:paraId="57DFD6B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Segment PDF text using AI to match structured questions</w:t>
            </w:r>
          </w:p>
        </w:tc>
        <w:tc>
          <w:tcPr>
            <w:tcW w:w="0" w:type="auto"/>
            <w:vAlign w:val="center"/>
            <w:hideMark/>
          </w:tcPr>
          <w:p w14:paraId="413BF40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Operational (Tier 2)</w:t>
            </w:r>
          </w:p>
        </w:tc>
        <w:tc>
          <w:tcPr>
            <w:tcW w:w="0" w:type="auto"/>
            <w:vAlign w:val="center"/>
            <w:hideMark/>
          </w:tcPr>
          <w:p w14:paraId="340DA56F"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21 Mar segmentation task; batch processing tools developed</w:t>
            </w:r>
          </w:p>
        </w:tc>
        <w:tc>
          <w:tcPr>
            <w:tcW w:w="0" w:type="auto"/>
            <w:vAlign w:val="center"/>
            <w:hideMark/>
          </w:tcPr>
          <w:p w14:paraId="0A90549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Normalize unstructured inputs for unified summarisation</w:t>
            </w:r>
          </w:p>
        </w:tc>
      </w:tr>
      <w:tr w:rsidR="00BB0412" w:rsidRPr="00BB0412" w14:paraId="08DB9EB0" w14:textId="77777777" w:rsidTr="00BB0412">
        <w:trPr>
          <w:tblCellSpacing w:w="15" w:type="dxa"/>
        </w:trPr>
        <w:tc>
          <w:tcPr>
            <w:tcW w:w="0" w:type="auto"/>
            <w:vAlign w:val="center"/>
            <w:hideMark/>
          </w:tcPr>
          <w:p w14:paraId="3BF098B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Build 1-line per-question JSONL summaries using a small LLM</w:t>
            </w:r>
          </w:p>
        </w:tc>
        <w:tc>
          <w:tcPr>
            <w:tcW w:w="0" w:type="auto"/>
            <w:vAlign w:val="center"/>
            <w:hideMark/>
          </w:tcPr>
          <w:p w14:paraId="181F6AE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Consolidation (Tier 3 → 2)</w:t>
            </w:r>
          </w:p>
        </w:tc>
        <w:tc>
          <w:tcPr>
            <w:tcW w:w="0" w:type="auto"/>
            <w:vAlign w:val="center"/>
            <w:hideMark/>
          </w:tcPr>
          <w:p w14:paraId="085562F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28 Mar response-level testing; 9 Apr full summaries on form data; 10 Apr updated versions</w:t>
            </w:r>
          </w:p>
        </w:tc>
        <w:tc>
          <w:tcPr>
            <w:tcW w:w="0" w:type="auto"/>
            <w:vAlign w:val="center"/>
            <w:hideMark/>
          </w:tcPr>
          <w:p w14:paraId="4EC2239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Deliver high-quality, model-generated summaries under practical constraints</w:t>
            </w:r>
          </w:p>
        </w:tc>
      </w:tr>
      <w:tr w:rsidR="00BB0412" w:rsidRPr="00BB0412" w14:paraId="4D3A523F" w14:textId="77777777" w:rsidTr="00BB0412">
        <w:trPr>
          <w:tblCellSpacing w:w="15" w:type="dxa"/>
        </w:trPr>
        <w:tc>
          <w:tcPr>
            <w:tcW w:w="0" w:type="auto"/>
            <w:vAlign w:val="center"/>
            <w:hideMark/>
          </w:tcPr>
          <w:p w14:paraId="6C63891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lastRenderedPageBreak/>
              <w:t>Prepare for mid-cycle PPI review and submit interim outputs</w:t>
            </w:r>
          </w:p>
        </w:tc>
        <w:tc>
          <w:tcPr>
            <w:tcW w:w="0" w:type="auto"/>
            <w:vAlign w:val="center"/>
            <w:hideMark/>
          </w:tcPr>
          <w:p w14:paraId="418E6E2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Reflection (Tier 2)</w:t>
            </w:r>
          </w:p>
        </w:tc>
        <w:tc>
          <w:tcPr>
            <w:tcW w:w="0" w:type="auto"/>
            <w:vAlign w:val="center"/>
            <w:hideMark/>
          </w:tcPr>
          <w:p w14:paraId="10249654"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10 Apr PPI response; 28 Apr interim analysis of 289 processed submissions</w:t>
            </w:r>
          </w:p>
        </w:tc>
        <w:tc>
          <w:tcPr>
            <w:tcW w:w="0" w:type="auto"/>
            <w:vAlign w:val="center"/>
            <w:hideMark/>
          </w:tcPr>
          <w:p w14:paraId="66A7C4E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Provide evaluative outputs and final feedback opportunity</w:t>
            </w:r>
          </w:p>
        </w:tc>
      </w:tr>
    </w:tbl>
    <w:p w14:paraId="517223C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pict w14:anchorId="7CCBDCF5">
          <v:rect id="_x0000_i1029" style="width:0;height:1.5pt" o:hralign="center" o:hrstd="t" o:hr="t" fillcolor="#a0a0a0" stroked="f"/>
        </w:pict>
      </w:r>
    </w:p>
    <w:p w14:paraId="22D3BB40"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Attachment 3: Revised Security Tiers Overview</w:t>
      </w:r>
      <w:r w:rsidRPr="00BB0412">
        <w:rPr>
          <w:rFonts w:ascii="Times New Roman" w:eastAsia="Times New Roman" w:hAnsi="Times New Roman" w:cs="Times New Roman"/>
          <w:sz w:val="24"/>
          <w:szCs w:val="24"/>
          <w:lang w:eastAsia="en-AU"/>
        </w:rPr>
        <w:br/>
        <w:t>Reframed as a spiral strategy supporting creative exploration and progressive system hardening.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195"/>
        <w:gridCol w:w="1647"/>
        <w:gridCol w:w="2884"/>
        <w:gridCol w:w="1082"/>
        <w:gridCol w:w="2143"/>
      </w:tblGrid>
      <w:tr w:rsidR="00BB0412" w:rsidRPr="00BB0412" w14:paraId="43E12AD7" w14:textId="77777777" w:rsidTr="00BB0412">
        <w:trPr>
          <w:tblHeader/>
          <w:tblCellSpacing w:w="15" w:type="dxa"/>
        </w:trPr>
        <w:tc>
          <w:tcPr>
            <w:tcW w:w="0" w:type="auto"/>
            <w:vAlign w:val="center"/>
            <w:hideMark/>
          </w:tcPr>
          <w:p w14:paraId="2FC348F0"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Tier</w:t>
            </w:r>
          </w:p>
        </w:tc>
        <w:tc>
          <w:tcPr>
            <w:tcW w:w="0" w:type="auto"/>
            <w:vAlign w:val="center"/>
            <w:hideMark/>
          </w:tcPr>
          <w:p w14:paraId="71D1EBFC"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Environment</w:t>
            </w:r>
          </w:p>
        </w:tc>
        <w:tc>
          <w:tcPr>
            <w:tcW w:w="0" w:type="auto"/>
            <w:vAlign w:val="center"/>
            <w:hideMark/>
          </w:tcPr>
          <w:p w14:paraId="1D5729B8"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Data Type</w:t>
            </w:r>
          </w:p>
        </w:tc>
        <w:tc>
          <w:tcPr>
            <w:tcW w:w="0" w:type="auto"/>
            <w:vAlign w:val="center"/>
            <w:hideMark/>
          </w:tcPr>
          <w:p w14:paraId="33E84565"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Purpose in Spiral Model</w:t>
            </w:r>
          </w:p>
        </w:tc>
        <w:tc>
          <w:tcPr>
            <w:tcW w:w="0" w:type="auto"/>
            <w:vAlign w:val="center"/>
            <w:hideMark/>
          </w:tcPr>
          <w:p w14:paraId="70BB0D74"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Risk Profile</w:t>
            </w:r>
          </w:p>
        </w:tc>
        <w:tc>
          <w:tcPr>
            <w:tcW w:w="0" w:type="auto"/>
            <w:vAlign w:val="center"/>
            <w:hideMark/>
          </w:tcPr>
          <w:p w14:paraId="53000C35"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Tools Allowed</w:t>
            </w:r>
          </w:p>
        </w:tc>
      </w:tr>
      <w:tr w:rsidR="00BB0412" w:rsidRPr="00BB0412" w14:paraId="73889087" w14:textId="77777777" w:rsidTr="00BB0412">
        <w:trPr>
          <w:tblCellSpacing w:w="15" w:type="dxa"/>
        </w:trPr>
        <w:tc>
          <w:tcPr>
            <w:tcW w:w="0" w:type="auto"/>
            <w:vAlign w:val="center"/>
            <w:hideMark/>
          </w:tcPr>
          <w:p w14:paraId="30354EE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6</w:t>
            </w:r>
          </w:p>
        </w:tc>
        <w:tc>
          <w:tcPr>
            <w:tcW w:w="0" w:type="auto"/>
            <w:vAlign w:val="center"/>
            <w:hideMark/>
          </w:tcPr>
          <w:p w14:paraId="0821A54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Standalone Local (Offline)</w:t>
            </w:r>
          </w:p>
        </w:tc>
        <w:tc>
          <w:tcPr>
            <w:tcW w:w="0" w:type="auto"/>
            <w:vAlign w:val="center"/>
            <w:hideMark/>
          </w:tcPr>
          <w:p w14:paraId="0DCD693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Synthetic</w:t>
            </w:r>
          </w:p>
        </w:tc>
        <w:tc>
          <w:tcPr>
            <w:tcW w:w="0" w:type="auto"/>
            <w:vAlign w:val="center"/>
            <w:hideMark/>
          </w:tcPr>
          <w:p w14:paraId="1C49F1BE"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Safe isolated testing</w:t>
            </w:r>
          </w:p>
        </w:tc>
        <w:tc>
          <w:tcPr>
            <w:tcW w:w="0" w:type="auto"/>
            <w:vAlign w:val="center"/>
            <w:hideMark/>
          </w:tcPr>
          <w:p w14:paraId="5BCBD78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Low</w:t>
            </w:r>
          </w:p>
        </w:tc>
        <w:tc>
          <w:tcPr>
            <w:tcW w:w="0" w:type="auto"/>
            <w:vAlign w:val="center"/>
            <w:hideMark/>
          </w:tcPr>
          <w:p w14:paraId="3618E15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Local open-source libraries only</w:t>
            </w:r>
          </w:p>
        </w:tc>
      </w:tr>
      <w:tr w:rsidR="00BB0412" w:rsidRPr="00BB0412" w14:paraId="7133DF9C" w14:textId="77777777" w:rsidTr="00BB0412">
        <w:trPr>
          <w:tblCellSpacing w:w="15" w:type="dxa"/>
        </w:trPr>
        <w:tc>
          <w:tcPr>
            <w:tcW w:w="0" w:type="auto"/>
            <w:vAlign w:val="center"/>
            <w:hideMark/>
          </w:tcPr>
          <w:p w14:paraId="591D7C6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5</w:t>
            </w:r>
          </w:p>
        </w:tc>
        <w:tc>
          <w:tcPr>
            <w:tcW w:w="0" w:type="auto"/>
            <w:vAlign w:val="center"/>
            <w:hideMark/>
          </w:tcPr>
          <w:p w14:paraId="5B3A9B3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 xml:space="preserve">Google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(Open Network)</w:t>
            </w:r>
          </w:p>
        </w:tc>
        <w:tc>
          <w:tcPr>
            <w:tcW w:w="0" w:type="auto"/>
            <w:vAlign w:val="center"/>
            <w:hideMark/>
          </w:tcPr>
          <w:p w14:paraId="72625DD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Synthetic/Public</w:t>
            </w:r>
          </w:p>
        </w:tc>
        <w:tc>
          <w:tcPr>
            <w:tcW w:w="0" w:type="auto"/>
            <w:vAlign w:val="center"/>
            <w:hideMark/>
          </w:tcPr>
          <w:p w14:paraId="42B78D9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Rapid exploration and model benchmarking</w:t>
            </w:r>
          </w:p>
        </w:tc>
        <w:tc>
          <w:tcPr>
            <w:tcW w:w="0" w:type="auto"/>
            <w:vAlign w:val="center"/>
            <w:hideMark/>
          </w:tcPr>
          <w:p w14:paraId="16BF135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Low</w:t>
            </w:r>
          </w:p>
        </w:tc>
        <w:tc>
          <w:tcPr>
            <w:tcW w:w="0" w:type="auto"/>
            <w:vAlign w:val="center"/>
            <w:hideMark/>
          </w:tcPr>
          <w:p w14:paraId="3B561A1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Full open tool access</w:t>
            </w:r>
          </w:p>
        </w:tc>
      </w:tr>
      <w:tr w:rsidR="00BB0412" w:rsidRPr="00BB0412" w14:paraId="05226087" w14:textId="77777777" w:rsidTr="00BB0412">
        <w:trPr>
          <w:tblCellSpacing w:w="15" w:type="dxa"/>
        </w:trPr>
        <w:tc>
          <w:tcPr>
            <w:tcW w:w="0" w:type="auto"/>
            <w:vAlign w:val="center"/>
            <w:hideMark/>
          </w:tcPr>
          <w:p w14:paraId="6E165C2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4</w:t>
            </w:r>
          </w:p>
        </w:tc>
        <w:tc>
          <w:tcPr>
            <w:tcW w:w="0" w:type="auto"/>
            <w:vAlign w:val="center"/>
            <w:hideMark/>
          </w:tcPr>
          <w:p w14:paraId="6ADA475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Locked-down Notebook (Networked)</w:t>
            </w:r>
          </w:p>
        </w:tc>
        <w:tc>
          <w:tcPr>
            <w:tcW w:w="0" w:type="auto"/>
            <w:vAlign w:val="center"/>
            <w:hideMark/>
          </w:tcPr>
          <w:p w14:paraId="52F0BD1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Synthetic</w:t>
            </w:r>
          </w:p>
        </w:tc>
        <w:tc>
          <w:tcPr>
            <w:tcW w:w="0" w:type="auto"/>
            <w:vAlign w:val="center"/>
            <w:hideMark/>
          </w:tcPr>
          <w:p w14:paraId="7892CA0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Internal testing without public access</w:t>
            </w:r>
          </w:p>
        </w:tc>
        <w:tc>
          <w:tcPr>
            <w:tcW w:w="0" w:type="auto"/>
            <w:vAlign w:val="center"/>
            <w:hideMark/>
          </w:tcPr>
          <w:p w14:paraId="325D9B54"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Moderate</w:t>
            </w:r>
          </w:p>
        </w:tc>
        <w:tc>
          <w:tcPr>
            <w:tcW w:w="0" w:type="auto"/>
            <w:vAlign w:val="center"/>
            <w:hideMark/>
          </w:tcPr>
          <w:p w14:paraId="4C1CBA4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Preapproved tools only</w:t>
            </w:r>
          </w:p>
        </w:tc>
      </w:tr>
      <w:tr w:rsidR="00BB0412" w:rsidRPr="00BB0412" w14:paraId="2089DA68" w14:textId="77777777" w:rsidTr="00BB0412">
        <w:trPr>
          <w:tblCellSpacing w:w="15" w:type="dxa"/>
        </w:trPr>
        <w:tc>
          <w:tcPr>
            <w:tcW w:w="0" w:type="auto"/>
            <w:vAlign w:val="center"/>
            <w:hideMark/>
          </w:tcPr>
          <w:p w14:paraId="12DDD9C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3</w:t>
            </w:r>
          </w:p>
        </w:tc>
        <w:tc>
          <w:tcPr>
            <w:tcW w:w="0" w:type="auto"/>
            <w:vAlign w:val="center"/>
            <w:hideMark/>
          </w:tcPr>
          <w:p w14:paraId="63F7C29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Personal Notebook + Public Wi-Fi</w:t>
            </w:r>
          </w:p>
        </w:tc>
        <w:tc>
          <w:tcPr>
            <w:tcW w:w="0" w:type="auto"/>
            <w:vAlign w:val="center"/>
            <w:hideMark/>
          </w:tcPr>
          <w:p w14:paraId="32F0EFE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Public</w:t>
            </w:r>
          </w:p>
        </w:tc>
        <w:tc>
          <w:tcPr>
            <w:tcW w:w="0" w:type="auto"/>
            <w:vAlign w:val="center"/>
            <w:hideMark/>
          </w:tcPr>
          <w:p w14:paraId="60302A9C"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Fine-tuning solutions using safe, real examples</w:t>
            </w:r>
          </w:p>
        </w:tc>
        <w:tc>
          <w:tcPr>
            <w:tcW w:w="0" w:type="auto"/>
            <w:vAlign w:val="center"/>
            <w:hideMark/>
          </w:tcPr>
          <w:p w14:paraId="32DF9DA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Moderate</w:t>
            </w:r>
          </w:p>
        </w:tc>
        <w:tc>
          <w:tcPr>
            <w:tcW w:w="0" w:type="auto"/>
            <w:vAlign w:val="center"/>
            <w:hideMark/>
          </w:tcPr>
          <w:p w14:paraId="47AF061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Offline use of exported public data</w:t>
            </w:r>
          </w:p>
        </w:tc>
      </w:tr>
      <w:tr w:rsidR="00BB0412" w:rsidRPr="00BB0412" w14:paraId="75D25CA9" w14:textId="77777777" w:rsidTr="00BB0412">
        <w:trPr>
          <w:tblCellSpacing w:w="15" w:type="dxa"/>
        </w:trPr>
        <w:tc>
          <w:tcPr>
            <w:tcW w:w="0" w:type="auto"/>
            <w:vAlign w:val="center"/>
            <w:hideMark/>
          </w:tcPr>
          <w:p w14:paraId="638C7BC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2</w:t>
            </w:r>
          </w:p>
        </w:tc>
        <w:tc>
          <w:tcPr>
            <w:tcW w:w="0" w:type="auto"/>
            <w:vAlign w:val="center"/>
            <w:hideMark/>
          </w:tcPr>
          <w:p w14:paraId="1F7583BF"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AWS in Secure VPC</w:t>
            </w:r>
          </w:p>
        </w:tc>
        <w:tc>
          <w:tcPr>
            <w:tcW w:w="0" w:type="auto"/>
            <w:vAlign w:val="center"/>
            <w:hideMark/>
          </w:tcPr>
          <w:p w14:paraId="7A4BF2E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Real (Sensitive)</w:t>
            </w:r>
          </w:p>
        </w:tc>
        <w:tc>
          <w:tcPr>
            <w:tcW w:w="0" w:type="auto"/>
            <w:vAlign w:val="center"/>
            <w:hideMark/>
          </w:tcPr>
          <w:p w14:paraId="4EB3654F"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Secure operationalisation of developed workflows</w:t>
            </w:r>
          </w:p>
        </w:tc>
        <w:tc>
          <w:tcPr>
            <w:tcW w:w="0" w:type="auto"/>
            <w:vAlign w:val="center"/>
            <w:hideMark/>
          </w:tcPr>
          <w:p w14:paraId="5342613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High</w:t>
            </w:r>
          </w:p>
        </w:tc>
        <w:tc>
          <w:tcPr>
            <w:tcW w:w="0" w:type="auto"/>
            <w:vAlign w:val="center"/>
            <w:hideMark/>
          </w:tcPr>
          <w:p w14:paraId="34993D5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IAM-restricted infrastructure only</w:t>
            </w:r>
          </w:p>
        </w:tc>
      </w:tr>
      <w:tr w:rsidR="00BB0412" w:rsidRPr="00BB0412" w14:paraId="4270B328" w14:textId="77777777" w:rsidTr="00BB0412">
        <w:trPr>
          <w:tblCellSpacing w:w="15" w:type="dxa"/>
        </w:trPr>
        <w:tc>
          <w:tcPr>
            <w:tcW w:w="0" w:type="auto"/>
            <w:vAlign w:val="center"/>
            <w:hideMark/>
          </w:tcPr>
          <w:p w14:paraId="2239B27D"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1</w:t>
            </w:r>
          </w:p>
        </w:tc>
        <w:tc>
          <w:tcPr>
            <w:tcW w:w="0" w:type="auto"/>
            <w:vAlign w:val="center"/>
            <w:hideMark/>
          </w:tcPr>
          <w:p w14:paraId="1A8118E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Locked-down AGD Workstation</w:t>
            </w:r>
          </w:p>
        </w:tc>
        <w:tc>
          <w:tcPr>
            <w:tcW w:w="0" w:type="auto"/>
            <w:vAlign w:val="center"/>
            <w:hideMark/>
          </w:tcPr>
          <w:p w14:paraId="65A48E2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Real (Sensitive)</w:t>
            </w:r>
          </w:p>
        </w:tc>
        <w:tc>
          <w:tcPr>
            <w:tcW w:w="0" w:type="auto"/>
            <w:vAlign w:val="center"/>
            <w:hideMark/>
          </w:tcPr>
          <w:p w14:paraId="74EDAE1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Final system deployment (air-gapped or controlled)</w:t>
            </w:r>
          </w:p>
        </w:tc>
        <w:tc>
          <w:tcPr>
            <w:tcW w:w="0" w:type="auto"/>
            <w:vAlign w:val="center"/>
            <w:hideMark/>
          </w:tcPr>
          <w:p w14:paraId="5D3D100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Highest</w:t>
            </w:r>
          </w:p>
        </w:tc>
        <w:tc>
          <w:tcPr>
            <w:tcW w:w="0" w:type="auto"/>
            <w:vAlign w:val="center"/>
            <w:hideMark/>
          </w:tcPr>
          <w:p w14:paraId="0A9CF50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Strict internal tooling, no external IO</w:t>
            </w:r>
          </w:p>
        </w:tc>
      </w:tr>
    </w:tbl>
    <w:p w14:paraId="7895E669"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pict w14:anchorId="33E8A5E8">
          <v:rect id="_x0000_i1030" style="width:0;height:1.5pt" o:hralign="center" o:hrstd="t" o:hr="t" fillcolor="#a0a0a0" stroked="f"/>
        </w:pict>
      </w:r>
    </w:p>
    <w:p w14:paraId="29B54507" w14:textId="77777777" w:rsidR="00BB0412" w:rsidRPr="00BB0412" w:rsidRDefault="00BB0412" w:rsidP="00BB0412">
      <w:pPr>
        <w:spacing w:before="100" w:beforeAutospacing="1" w:after="100" w:afterAutospacing="1"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b/>
          <w:bCs/>
          <w:sz w:val="24"/>
          <w:szCs w:val="24"/>
          <w:lang w:eastAsia="en-AU"/>
        </w:rPr>
        <w:t>Attachment 4: Feedback Rebuttal Table (Aligned to Spiral Learning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183"/>
        <w:gridCol w:w="6375"/>
      </w:tblGrid>
      <w:tr w:rsidR="00BB0412" w:rsidRPr="00BB0412" w14:paraId="17441529" w14:textId="77777777" w:rsidTr="00BB0412">
        <w:trPr>
          <w:tblHeader/>
          <w:tblCellSpacing w:w="15" w:type="dxa"/>
        </w:trPr>
        <w:tc>
          <w:tcPr>
            <w:tcW w:w="0" w:type="auto"/>
            <w:vAlign w:val="center"/>
            <w:hideMark/>
          </w:tcPr>
          <w:p w14:paraId="2A25F330"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Theme</w:t>
            </w:r>
          </w:p>
        </w:tc>
        <w:tc>
          <w:tcPr>
            <w:tcW w:w="0" w:type="auto"/>
            <w:vAlign w:val="center"/>
            <w:hideMark/>
          </w:tcPr>
          <w:p w14:paraId="0CEF4385"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Feedback Summary</w:t>
            </w:r>
          </w:p>
        </w:tc>
        <w:tc>
          <w:tcPr>
            <w:tcW w:w="0" w:type="auto"/>
            <w:vAlign w:val="center"/>
            <w:hideMark/>
          </w:tcPr>
          <w:p w14:paraId="51FDF8F1" w14:textId="77777777" w:rsidR="00BB0412" w:rsidRPr="00BB0412" w:rsidRDefault="00BB0412" w:rsidP="00BB0412">
            <w:pPr>
              <w:spacing w:after="0" w:line="240" w:lineRule="auto"/>
              <w:jc w:val="center"/>
              <w:rPr>
                <w:rFonts w:ascii="Times New Roman" w:eastAsia="Times New Roman" w:hAnsi="Times New Roman" w:cs="Times New Roman"/>
                <w:b/>
                <w:bCs/>
                <w:sz w:val="24"/>
                <w:szCs w:val="24"/>
                <w:lang w:eastAsia="en-AU"/>
              </w:rPr>
            </w:pPr>
            <w:r w:rsidRPr="00BB0412">
              <w:rPr>
                <w:rFonts w:ascii="Times New Roman" w:eastAsia="Times New Roman" w:hAnsi="Times New Roman" w:cs="Times New Roman"/>
                <w:b/>
                <w:bCs/>
                <w:sz w:val="24"/>
                <w:szCs w:val="24"/>
                <w:lang w:eastAsia="en-AU"/>
              </w:rPr>
              <w:t>Spiral-Aligned Rebuttal</w:t>
            </w:r>
          </w:p>
        </w:tc>
      </w:tr>
      <w:tr w:rsidR="00BB0412" w:rsidRPr="00BB0412" w14:paraId="7DF6E2D3" w14:textId="77777777" w:rsidTr="00BB0412">
        <w:trPr>
          <w:tblCellSpacing w:w="15" w:type="dxa"/>
        </w:trPr>
        <w:tc>
          <w:tcPr>
            <w:tcW w:w="0" w:type="auto"/>
            <w:vAlign w:val="center"/>
            <w:hideMark/>
          </w:tcPr>
          <w:p w14:paraId="29EC970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Communication</w:t>
            </w:r>
          </w:p>
        </w:tc>
        <w:tc>
          <w:tcPr>
            <w:tcW w:w="0" w:type="auto"/>
            <w:vAlign w:val="center"/>
            <w:hideMark/>
          </w:tcPr>
          <w:p w14:paraId="746B4FF8"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Tendency to over-explain and use AI-generated email tone</w:t>
            </w:r>
          </w:p>
        </w:tc>
        <w:tc>
          <w:tcPr>
            <w:tcW w:w="0" w:type="auto"/>
            <w:vAlign w:val="center"/>
            <w:hideMark/>
          </w:tcPr>
          <w:p w14:paraId="53E7C82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 xml:space="preserve">Comprehensive documentation was a deliberate choice during early discovery (Tier 5) to ensure transparency. Adjusted to concise updates as solution solidified. </w:t>
            </w:r>
            <w:proofErr w:type="spellStart"/>
            <w:r w:rsidRPr="00BB0412">
              <w:rPr>
                <w:rFonts w:ascii="Times New Roman" w:eastAsia="Times New Roman" w:hAnsi="Times New Roman" w:cs="Times New Roman"/>
                <w:sz w:val="24"/>
                <w:szCs w:val="24"/>
                <w:lang w:eastAsia="en-AU"/>
              </w:rPr>
              <w:t>GenAI</w:t>
            </w:r>
            <w:proofErr w:type="spellEnd"/>
            <w:r w:rsidRPr="00BB0412">
              <w:rPr>
                <w:rFonts w:ascii="Times New Roman" w:eastAsia="Times New Roman" w:hAnsi="Times New Roman" w:cs="Times New Roman"/>
                <w:sz w:val="24"/>
                <w:szCs w:val="24"/>
                <w:lang w:eastAsia="en-AU"/>
              </w:rPr>
              <w:t xml:space="preserve"> was used as a reflective collaborator, not a proxy for authorship.</w:t>
            </w:r>
          </w:p>
        </w:tc>
      </w:tr>
      <w:tr w:rsidR="00BB0412" w:rsidRPr="00BB0412" w14:paraId="4D2AC81E" w14:textId="77777777" w:rsidTr="00BB0412">
        <w:trPr>
          <w:tblCellSpacing w:w="15" w:type="dxa"/>
        </w:trPr>
        <w:tc>
          <w:tcPr>
            <w:tcW w:w="0" w:type="auto"/>
            <w:vAlign w:val="center"/>
            <w:hideMark/>
          </w:tcPr>
          <w:p w14:paraId="0368A44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Security &amp; Data Handling</w:t>
            </w:r>
          </w:p>
        </w:tc>
        <w:tc>
          <w:tcPr>
            <w:tcW w:w="0" w:type="auto"/>
            <w:vAlign w:val="center"/>
            <w:hideMark/>
          </w:tcPr>
          <w:p w14:paraId="6071FEC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 xml:space="preserve">Used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with AGD data; accessed AWS from unsecured device</w:t>
            </w:r>
          </w:p>
        </w:tc>
        <w:tc>
          <w:tcPr>
            <w:tcW w:w="0" w:type="auto"/>
            <w:vAlign w:val="center"/>
            <w:hideMark/>
          </w:tcPr>
          <w:p w14:paraId="10489FE5"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 xml:space="preserve">Transitioned fully to AWS (Tier 2) immediately after 17 Mar directive. Used </w:t>
            </w:r>
            <w:proofErr w:type="spellStart"/>
            <w:r w:rsidRPr="00BB0412">
              <w:rPr>
                <w:rFonts w:ascii="Times New Roman" w:eastAsia="Times New Roman" w:hAnsi="Times New Roman" w:cs="Times New Roman"/>
                <w:sz w:val="24"/>
                <w:szCs w:val="24"/>
                <w:lang w:eastAsia="en-AU"/>
              </w:rPr>
              <w:t>Colab</w:t>
            </w:r>
            <w:proofErr w:type="spellEnd"/>
            <w:r w:rsidRPr="00BB0412">
              <w:rPr>
                <w:rFonts w:ascii="Times New Roman" w:eastAsia="Times New Roman" w:hAnsi="Times New Roman" w:cs="Times New Roman"/>
                <w:sz w:val="24"/>
                <w:szCs w:val="24"/>
                <w:lang w:eastAsia="en-AU"/>
              </w:rPr>
              <w:t xml:space="preserve"> only for early, public-data testing at Tier 5. Decision to operate in lower tiers during discovery was intentional and justified given learning scope and public nature of data.</w:t>
            </w:r>
          </w:p>
        </w:tc>
      </w:tr>
      <w:tr w:rsidR="00BB0412" w:rsidRPr="00BB0412" w14:paraId="513F0A63" w14:textId="77777777" w:rsidTr="00BB0412">
        <w:trPr>
          <w:tblCellSpacing w:w="15" w:type="dxa"/>
        </w:trPr>
        <w:tc>
          <w:tcPr>
            <w:tcW w:w="0" w:type="auto"/>
            <w:vAlign w:val="center"/>
            <w:hideMark/>
          </w:tcPr>
          <w:p w14:paraId="7D4BFC03"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Instruction-Following</w:t>
            </w:r>
          </w:p>
        </w:tc>
        <w:tc>
          <w:tcPr>
            <w:tcW w:w="0" w:type="auto"/>
            <w:vAlign w:val="center"/>
            <w:hideMark/>
          </w:tcPr>
          <w:p w14:paraId="67100C7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Built reusable pipeline outside scope; contacted ANU without approval</w:t>
            </w:r>
          </w:p>
        </w:tc>
        <w:tc>
          <w:tcPr>
            <w:tcW w:w="0" w:type="auto"/>
            <w:vAlign w:val="center"/>
            <w:hideMark/>
          </w:tcPr>
          <w:p w14:paraId="6DBB9B3B"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Pre-scope exploration was consistent with spiral discovery. Once boundaries were fixed, execution followed instruction. ANU contact was a new-starter misunderstanding rooted in infrastructure access—ceased immediately after clarification.</w:t>
            </w:r>
          </w:p>
        </w:tc>
      </w:tr>
      <w:tr w:rsidR="00BB0412" w:rsidRPr="00BB0412" w14:paraId="0F0FA4D0" w14:textId="77777777" w:rsidTr="00BB0412">
        <w:trPr>
          <w:tblCellSpacing w:w="15" w:type="dxa"/>
        </w:trPr>
        <w:tc>
          <w:tcPr>
            <w:tcW w:w="0" w:type="auto"/>
            <w:vAlign w:val="center"/>
            <w:hideMark/>
          </w:tcPr>
          <w:p w14:paraId="7A7E5DCA"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Seeking Advice</w:t>
            </w:r>
          </w:p>
        </w:tc>
        <w:tc>
          <w:tcPr>
            <w:tcW w:w="0" w:type="auto"/>
            <w:vAlign w:val="center"/>
            <w:hideMark/>
          </w:tcPr>
          <w:p w14:paraId="5CE108D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Didn’t ask for help soon enough when facing blockers</w:t>
            </w:r>
          </w:p>
        </w:tc>
        <w:tc>
          <w:tcPr>
            <w:tcW w:w="0" w:type="auto"/>
            <w:vAlign w:val="center"/>
            <w:hideMark/>
          </w:tcPr>
          <w:p w14:paraId="401C0C46"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During discovery, blockers were exploratory (e.g., model design, chunking strategy) and not operational bottlenecks. Assumed ownership within Tier 5 until it became operationally relevant—at which point feedback was sought (e.g., merging mixed fields).</w:t>
            </w:r>
          </w:p>
        </w:tc>
      </w:tr>
      <w:tr w:rsidR="00BB0412" w:rsidRPr="00BB0412" w14:paraId="41240ED0" w14:textId="77777777" w:rsidTr="00BB0412">
        <w:trPr>
          <w:tblCellSpacing w:w="15" w:type="dxa"/>
        </w:trPr>
        <w:tc>
          <w:tcPr>
            <w:tcW w:w="0" w:type="auto"/>
            <w:vAlign w:val="center"/>
            <w:hideMark/>
          </w:tcPr>
          <w:p w14:paraId="663268B2"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Time Management &amp; Execution</w:t>
            </w:r>
          </w:p>
        </w:tc>
        <w:tc>
          <w:tcPr>
            <w:tcW w:w="0" w:type="auto"/>
            <w:vAlign w:val="center"/>
            <w:hideMark/>
          </w:tcPr>
          <w:p w14:paraId="36E76A27"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Did not flag delays; over-engineered solution</w:t>
            </w:r>
          </w:p>
        </w:tc>
        <w:tc>
          <w:tcPr>
            <w:tcW w:w="0" w:type="auto"/>
            <w:vAlign w:val="center"/>
            <w:hideMark/>
          </w:tcPr>
          <w:p w14:paraId="66E02CD0"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t xml:space="preserve">Weekly updates (28 Apr interim) aimed to surface schedule risks. Continued working during feedback gaps due to holidays. Deliberate prioritisation of research insight and method </w:t>
            </w:r>
            <w:r w:rsidRPr="00BB0412">
              <w:rPr>
                <w:rFonts w:ascii="Times New Roman" w:eastAsia="Times New Roman" w:hAnsi="Times New Roman" w:cs="Times New Roman"/>
                <w:sz w:val="24"/>
                <w:szCs w:val="24"/>
                <w:lang w:eastAsia="en-AU"/>
              </w:rPr>
              <w:lastRenderedPageBreak/>
              <w:t>reliability over schedule was grounded in the learning mandate implicit in early project framing.</w:t>
            </w:r>
          </w:p>
        </w:tc>
      </w:tr>
    </w:tbl>
    <w:p w14:paraId="1F5926F1" w14:textId="77777777" w:rsidR="00BB0412" w:rsidRPr="00BB0412" w:rsidRDefault="00BB0412" w:rsidP="00BB0412">
      <w:pPr>
        <w:spacing w:after="0" w:line="240" w:lineRule="auto"/>
        <w:rPr>
          <w:rFonts w:ascii="Times New Roman" w:eastAsia="Times New Roman" w:hAnsi="Times New Roman" w:cs="Times New Roman"/>
          <w:sz w:val="24"/>
          <w:szCs w:val="24"/>
          <w:lang w:eastAsia="en-AU"/>
        </w:rPr>
      </w:pPr>
      <w:r w:rsidRPr="00BB0412">
        <w:rPr>
          <w:rFonts w:ascii="Times New Roman" w:eastAsia="Times New Roman" w:hAnsi="Times New Roman" w:cs="Times New Roman"/>
          <w:sz w:val="24"/>
          <w:szCs w:val="24"/>
          <w:lang w:eastAsia="en-AU"/>
        </w:rPr>
        <w:lastRenderedPageBreak/>
        <w:pict w14:anchorId="7F317557">
          <v:rect id="_x0000_i1031" style="width:0;height:1.5pt" o:hralign="center" o:hrstd="t" o:hr="t" fillcolor="#a0a0a0" stroked="f"/>
        </w:pict>
      </w:r>
    </w:p>
    <w:p w14:paraId="3A37BC2D" w14:textId="77777777" w:rsidR="00F655F1" w:rsidRDefault="00F655F1"/>
    <w:sectPr w:rsidR="00F655F1" w:rsidSect="00BB04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412"/>
    <w:rsid w:val="00BB0412"/>
    <w:rsid w:val="00F655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58C7"/>
  <w15:chartTrackingRefBased/>
  <w15:docId w15:val="{24788B7F-D60A-41A8-A901-DB94FC70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B0412"/>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BB0412"/>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0412"/>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BB0412"/>
    <w:rPr>
      <w:rFonts w:ascii="Times New Roman" w:eastAsia="Times New Roman" w:hAnsi="Times New Roman" w:cs="Times New Roman"/>
      <w:b/>
      <w:bCs/>
      <w:sz w:val="24"/>
      <w:szCs w:val="24"/>
      <w:lang w:eastAsia="en-AU"/>
    </w:rPr>
  </w:style>
  <w:style w:type="paragraph" w:styleId="NormalWeb">
    <w:name w:val="Normal (Web)"/>
    <w:basedOn w:val="Normal"/>
    <w:uiPriority w:val="99"/>
    <w:semiHidden/>
    <w:unhideWhenUsed/>
    <w:rsid w:val="00BB041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B0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3295667">
      <w:bodyDiv w:val="1"/>
      <w:marLeft w:val="0"/>
      <w:marRight w:val="0"/>
      <w:marTop w:val="0"/>
      <w:marBottom w:val="0"/>
      <w:divBdr>
        <w:top w:val="none" w:sz="0" w:space="0" w:color="auto"/>
        <w:left w:val="none" w:sz="0" w:space="0" w:color="auto"/>
        <w:bottom w:val="none" w:sz="0" w:space="0" w:color="auto"/>
        <w:right w:val="none" w:sz="0" w:space="0" w:color="auto"/>
      </w:divBdr>
    </w:div>
    <w:div w:id="204525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846EFAC4CFF4F99BE6A32473B833D" ma:contentTypeVersion="9" ma:contentTypeDescription="Create a new document." ma:contentTypeScope="" ma:versionID="a7bbe9ad11b122140125829797960f1c">
  <xsd:schema xmlns:xsd="http://www.w3.org/2001/XMLSchema" xmlns:xs="http://www.w3.org/2001/XMLSchema" xmlns:p="http://schemas.microsoft.com/office/2006/metadata/properties" xmlns:ns3="cf706d58-8dc2-4166-ac52-b547ff0589cf" targetNamespace="http://schemas.microsoft.com/office/2006/metadata/properties" ma:root="true" ma:fieldsID="1c43df6a2c14622bbb9bf823f3791d29" ns3:_="">
    <xsd:import namespace="cf706d58-8dc2-4166-ac52-b547ff0589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06d58-8dc2-4166-ac52-b547ff0589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f706d58-8dc2-4166-ac52-b547ff0589cf" xsi:nil="true"/>
  </documentManagement>
</p:properties>
</file>

<file path=customXml/itemProps1.xml><?xml version="1.0" encoding="utf-8"?>
<ds:datastoreItem xmlns:ds="http://schemas.openxmlformats.org/officeDocument/2006/customXml" ds:itemID="{FCEF7C25-DA63-4D3E-9D96-946158834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06d58-8dc2-4166-ac52-b547ff058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A0850B-E22C-4638-87FA-0DB1EBE082D6}">
  <ds:schemaRefs>
    <ds:schemaRef ds:uri="http://schemas.microsoft.com/sharepoint/v3/contenttype/forms"/>
  </ds:schemaRefs>
</ds:datastoreItem>
</file>

<file path=customXml/itemProps3.xml><?xml version="1.0" encoding="utf-8"?>
<ds:datastoreItem xmlns:ds="http://schemas.openxmlformats.org/officeDocument/2006/customXml" ds:itemID="{8B915E42-1EE5-4BD9-AD2C-C0971D757252}">
  <ds:schemaRefs>
    <ds:schemaRef ds:uri="http://purl.org/dc/elements/1.1/"/>
    <ds:schemaRef ds:uri="http://schemas.openxmlformats.org/package/2006/metadata/core-properties"/>
    <ds:schemaRef ds:uri="http://purl.org/dc/dcmitype/"/>
    <ds:schemaRef ds:uri="cf706d58-8dc2-4166-ac52-b547ff0589cf"/>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1867</Words>
  <Characters>11411</Characters>
  <Application>Microsoft Office Word</Application>
  <DocSecurity>0</DocSecurity>
  <Lines>338</Lines>
  <Paragraphs>144</Paragraphs>
  <ScaleCrop>false</ScaleCrop>
  <HeadingPairs>
    <vt:vector size="2" baseType="variant">
      <vt:variant>
        <vt:lpstr>Title</vt:lpstr>
      </vt:variant>
      <vt:variant>
        <vt:i4>1</vt:i4>
      </vt:variant>
    </vt:vector>
  </HeadingPairs>
  <TitlesOfParts>
    <vt:vector size="1" baseType="lpstr">
      <vt:lpstr/>
    </vt:vector>
  </TitlesOfParts>
  <Company>Attorney-General's Department</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Yeu Wen</dc:creator>
  <cp:keywords/>
  <dc:description/>
  <cp:lastModifiedBy>Mak, Yeu Wen</cp:lastModifiedBy>
  <cp:revision>1</cp:revision>
  <cp:lastPrinted>2025-05-20T01:08:00Z</cp:lastPrinted>
  <dcterms:created xsi:type="dcterms:W3CDTF">2025-05-20T01:01:00Z</dcterms:created>
  <dcterms:modified xsi:type="dcterms:W3CDTF">2025-05-20T01:10:00Z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0x01010069E846EFAC4CFF4F99BE6A32473B833D</vt:lpwstr>
  </property>
</Properties>
</file>