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Calibri" w:hAnsi="Calibri"/>
          <w:b/>
          <w:i w:val="0"/>
          <w:color w:val="0B2545"/>
          <w:sz w:val="48"/>
        </w:rPr>
        <w:t>FIN ZARADE</w:t>
      </w:r>
    </w:p>
    <w:p>
      <w:pPr>
        <w:spacing w:before="0" w:after="120" w:line="276" w:lineRule="auto"/>
        <w:jc w:val="center"/>
      </w:pPr>
      <w:r>
        <w:rPr>
          <w:rFonts w:ascii="Calibri" w:hAnsi="Calibri"/>
          <w:b w:val="0"/>
          <w:i w:val="0"/>
          <w:color w:val="1F4D78"/>
          <w:sz w:val="28"/>
        </w:rPr>
        <w:t>Kompletno uputstvo za rad sa prakticnim primerima</w:t>
      </w:r>
    </w:p>
    <w:p>
      <w:pPr>
        <w:spacing w:before="0" w:after="240" w:line="276" w:lineRule="auto"/>
        <w:jc w:val="center"/>
      </w:pPr>
      <w:r>
        <w:rPr>
          <w:rFonts w:ascii="Calibri" w:hAnsi="Calibri"/>
          <w:b w:val="0"/>
          <w:i/>
          <w:sz w:val="22"/>
        </w:rPr>
        <w:t>Verzija: 25.05.2026.</w:t>
      </w:r>
    </w:p>
    <w:p>
      <w:pPr>
        <w:spacing w:before="0" w:after="240" w:line="276" w:lineRule="auto"/>
        <w:jc w:val="left"/>
      </w:pPr>
      <w:r>
        <w:rPr>
          <w:rFonts w:ascii="Calibri" w:hAnsi="Calibri"/>
          <w:b w:val="0"/>
          <w:i/>
          <w:sz w:val="22"/>
        </w:rPr>
        <w:t>Napomena: ekrani i nazivi polja mogu neznatno da variraju po verziji FIN aplikacije. Sadrzaj je operativni vodic za svakodnevni obracun zarada.</w:t>
      </w:r>
    </w:p>
    <w:p>
      <w:pPr>
        <w:pStyle w:val="Heading1"/>
      </w:pPr>
      <w:r>
        <w:t>Sadrzaj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1. Uvod i opseg uputstva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2. Preduslovi pre prvog obracuna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3. Inicijalno podesavanje modula FIN Zarade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4. Evidencija zaposlenih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5. Mesecni tok rada - korak po korak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6. Prakticni primeri obracuna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7. Isplata, obrasci i knjizenje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8. Korekcije i storno obracuna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9. Kontrolna lista za zatvaranje meseca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10. Najcesce greske i resenja</w:t>
      </w:r>
    </w:p>
    <w:p>
      <w:pPr>
        <w:pStyle w:val="Heading1"/>
      </w:pPr>
      <w:r>
        <w:t>1. Uvod i opseg uputstva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sz w:val="22"/>
        </w:rPr>
        <w:t>Ovo uputstvo je namenjeno korisnicima koji vode obracun plata u modulu FIN Zarade: knjigovodjama, HR administratorima i finansijskim kontrolorima.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sz w:val="22"/>
        </w:rPr>
        <w:t>Cilj je da kroz jedan dokument pokrije ceo ciklus: od sifarnika i maticnih podataka, preko mesecnog obracuna, do isplate, izvestaja i korekcija.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sz w:val="22"/>
        </w:rPr>
        <w:t>Uputstvo ukljucuje prakticne primere sa tipicnim kombinacijama: redovan rad, smenski rad, prekovremeni sati, bolovanje i obustave.</w:t>
      </w:r>
    </w:p>
    <w:p>
      <w:pPr>
        <w:pStyle w:val="Heading1"/>
      </w:pPr>
      <w:r>
        <w:t>2. Preduslovi pre prvog obracuna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Otvoren obracunski period (mesec i godina) u FIN bazi.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Azirani sifarnici: organizacione jedinice, banke, opstine i vrste primanja.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Definisani modeli konta za automatsko knjizenje obrauna zarada.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Akti poslodavca: pravilnik o radu, koeficijenti, procenti dodataka i obustave.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Provera da su poreski parametri i doprinosi azurni za tekuci period.</w:t>
      </w:r>
    </w:p>
    <w:p>
      <w:pPr>
        <w:pStyle w:val="Heading1"/>
      </w:pPr>
      <w:r>
        <w:t>3. Inicijalno podesavanje modula FIN Zarade</w:t>
      </w:r>
    </w:p>
    <w:p>
      <w:pPr>
        <w:pStyle w:val="Heading2"/>
      </w:pPr>
      <w:r>
        <w:t>3.1 Osnovna podesavanja firme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Otvorite meni Podesavanja &gt; Firma &gt; Zarade.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Unesite PIB, maticni broj, sifru delatnosti i opstinu poreske nadleznosti.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Definisite podrazumevanu banku za isplatu i model poziva na broj.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Postavite datum isplate i oznaku obracunskog perioda.</w:t>
      </w:r>
    </w:p>
    <w:p>
      <w:pPr>
        <w:pStyle w:val="Heading2"/>
      </w:pPr>
      <w:r>
        <w:t>3.2 Sifarnici koji moraju biti popunjeni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Vrste primanja: osnovna zarada, minuli rad, nocni rad, prekovremeni rad, praznik.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Vrste odsustva: godisnji odmor, bolovanje do 30 dana, bolovanje preko 30 dana.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Vrste obustava: kredit, alimentacija, sindikat, administrativna zabrana.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Vrste naknada: prevoz, sluzbeni put, ostale naknade.</w:t>
      </w:r>
    </w:p>
    <w:p>
      <w:pPr>
        <w:pStyle w:val="Heading2"/>
      </w:pPr>
      <w:r>
        <w:t>3.3 Povezivanje sa kontnim okvirom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sz w:val="22"/>
        </w:rPr>
        <w:t>Za svaku vrstu primanja i obustave povezuje se konto troska i konto obaveze. Ovo omogucava da FIN automatski formira nalog za knjizenje nakon obracuna.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68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Element</w:t>
            </w:r>
          </w:p>
        </w:tc>
        <w:tc>
          <w:tcPr>
            <w:tcW w:type="dxa" w:w="2041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Primer konta troska</w:t>
            </w:r>
          </w:p>
        </w:tc>
        <w:tc>
          <w:tcPr>
            <w:tcW w:type="dxa" w:w="2041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Primer konta obaveze</w:t>
            </w:r>
          </w:p>
        </w:tc>
        <w:tc>
          <w:tcPr>
            <w:tcW w:type="dxa" w:w="3288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Napomena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Osnovna zarada</w:t>
            </w:r>
          </w:p>
        </w:tc>
        <w:tc>
          <w:tcPr>
            <w:tcW w:type="dxa" w:w="204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5200</w:t>
            </w:r>
          </w:p>
        </w:tc>
        <w:tc>
          <w:tcPr>
            <w:tcW w:type="dxa" w:w="204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4500</w:t>
            </w:r>
          </w:p>
        </w:tc>
        <w:tc>
          <w:tcPr>
            <w:tcW w:type="dxa" w:w="328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Trosak bruto zarada i obaveza prema zaposlenom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Doprinosi na teret poslodavca</w:t>
            </w:r>
          </w:p>
        </w:tc>
        <w:tc>
          <w:tcPr>
            <w:tcW w:type="dxa" w:w="204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5210</w:t>
            </w:r>
          </w:p>
        </w:tc>
        <w:tc>
          <w:tcPr>
            <w:tcW w:type="dxa" w:w="204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4520</w:t>
            </w:r>
          </w:p>
        </w:tc>
        <w:tc>
          <w:tcPr>
            <w:tcW w:type="dxa" w:w="328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Automatski prenos po obracunu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Porez na zaradu</w:t>
            </w:r>
          </w:p>
        </w:tc>
        <w:tc>
          <w:tcPr>
            <w:tcW w:type="dxa" w:w="204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5200</w:t>
            </w:r>
          </w:p>
        </w:tc>
        <w:tc>
          <w:tcPr>
            <w:tcW w:type="dxa" w:w="204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4510</w:t>
            </w:r>
          </w:p>
        </w:tc>
        <w:tc>
          <w:tcPr>
            <w:tcW w:type="dxa" w:w="328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Obaveza prema poreskoj upravi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Obustava kredita</w:t>
            </w:r>
          </w:p>
        </w:tc>
        <w:tc>
          <w:tcPr>
            <w:tcW w:type="dxa" w:w="204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n/a</w:t>
            </w:r>
          </w:p>
        </w:tc>
        <w:tc>
          <w:tcPr>
            <w:tcW w:type="dxa" w:w="204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4690</w:t>
            </w:r>
          </w:p>
        </w:tc>
        <w:tc>
          <w:tcPr>
            <w:tcW w:type="dxa" w:w="328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Prenos ka poveriocu po specifikaciji</w:t>
            </w:r>
          </w:p>
        </w:tc>
      </w:tr>
    </w:tbl>
    <w:p/>
    <w:p>
      <w:pPr>
        <w:pStyle w:val="Heading1"/>
      </w:pPr>
      <w:r>
        <w:t>4. Evidencija zaposlenih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sz w:val="22"/>
        </w:rPr>
        <w:t>Pre prvog obracuna proverite da svaki zaposleni ima kompletirane maticne podatke.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Liczni podaci: JMBG, adresa, opstina prebivalista, broj licne karte.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Podaci o ugovoru: vrsta radnog odnosa, datum prijave, radno mesto.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Model obracuna: mesecna plata ili satnica, norma sati, koeficijent.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Banka i broj racuna zaposlenog za neto isplatu.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Poreski status i eventualne olaksice ako su primenljive.</w:t>
      </w:r>
    </w:p>
    <w:p>
      <w:pPr>
        <w:pStyle w:val="Heading1"/>
      </w:pPr>
      <w:r>
        <w:t>5. Mesecni tok rada - korak po korak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Otvorite novi obracun za period (npr. 04/2026).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Ucitajte zaposlene za obracun (sve ili filtrirano po organizacionoj jedinici).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Unesite fond sati i evidenciju rada (redovni, nocni, praznik, prekovremeni).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Unesite odsustva i naknade (godisnji odmor, bolovanje, ostale naknade).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Unesite obustave po zaposlenom (kredit, alimentacija i slicno).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Pokrenite probni obracun i analizirajte kontrolne izvestaje.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Ispravite greske i zatim pokrenite konacni obracun.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Zakljucajte obracun, pripremite isplatu i izvezite obrasce.</w:t>
      </w:r>
    </w:p>
    <w:p>
      <w:pPr>
        <w:pStyle w:val="Heading2"/>
      </w:pPr>
      <w:r>
        <w:t>5.1 Kontrole pre konacnog obracuna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Provera da nema zaposlenih sa negativnim neto iznosom.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Provera da su svi zaposleni rasporedjeni u odgovarajucu poresku opstinu.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Uporedni pregled bruto i neto odstupanja u odnosu na prethodni mesec.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Validacija osnovica za doprinose i granicnih uslova.</w:t>
      </w:r>
    </w:p>
    <w:p>
      <w:pPr>
        <w:pStyle w:val="Heading1"/>
      </w:pPr>
      <w:r>
        <w:t>6. Prakticni primeri obracuna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sz w:val="22"/>
        </w:rPr>
        <w:t>Primeri su operativni i sluze da pokazu logiku unosa i kontrole. Konacni porez i doprinosi zavise od propisa, olaksica i parametara postavljenih u bazi.</w:t>
      </w:r>
    </w:p>
    <w:p>
      <w:pPr>
        <w:pStyle w:val="Heading2"/>
      </w:pPr>
      <w:r>
        <w:t>Primer 1: Mesecna zarada sa minulim radom i obustavom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835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Ulazni podatak</w:t>
            </w:r>
          </w:p>
        </w:tc>
        <w:tc>
          <w:tcPr>
            <w:tcW w:type="dxa" w:w="1814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Vrednost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Gde se unosi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Napomena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Osnovna bruto zarada</w:t>
            </w:r>
          </w:p>
        </w:tc>
        <w:tc>
          <w:tcPr>
            <w:tcW w:type="dxa" w:w="1814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120000 RSD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Kartica Obracun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Sifra primanja: osnovna zarada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Minuli rad</w:t>
            </w:r>
          </w:p>
        </w:tc>
        <w:tc>
          <w:tcPr>
            <w:tcW w:type="dxa" w:w="1814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2.0%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Dodatci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Na osnovu staza kod poslodavca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Prevoz</w:t>
            </w:r>
          </w:p>
        </w:tc>
        <w:tc>
          <w:tcPr>
            <w:tcW w:type="dxa" w:w="1814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5000 RSD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Naknade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Evidentira se odvojeno od zarade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Kredit - obustava</w:t>
            </w:r>
          </w:p>
        </w:tc>
        <w:tc>
          <w:tcPr>
            <w:tcW w:type="dxa" w:w="1814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10000 RSD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Obustave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Automatski umanjuje neto</w:t>
            </w:r>
          </w:p>
        </w:tc>
      </w:tr>
    </w:tbl>
    <w:p/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Pokrenuti probni obracun i proveriti da je minuli rad obracunat na osnovicu.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U kontroli neto isplate proveriti da je kreditna obustava tacno preneta.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Potvrditi da prevoz nije pogresno vezan za sifru osnovne zarade.</w:t>
      </w:r>
    </w:p>
    <w:p>
      <w:pPr>
        <w:pStyle w:val="Heading2"/>
      </w:pPr>
      <w:r>
        <w:t>Primer 2: Satnica, prekovremeni i nocni rad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608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Ulazni podatak</w:t>
            </w:r>
          </w:p>
        </w:tc>
        <w:tc>
          <w:tcPr>
            <w:tcW w:type="dxa" w:w="1531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Vrednost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Primer proracuna</w:t>
            </w:r>
          </w:p>
        </w:tc>
        <w:tc>
          <w:tcPr>
            <w:tcW w:type="dxa" w:w="3118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Napomena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Satnica</w:t>
            </w:r>
          </w:p>
        </w:tc>
        <w:tc>
          <w:tcPr>
            <w:tcW w:type="dxa" w:w="153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750 RSD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Osnovica po satu</w:t>
            </w:r>
          </w:p>
        </w:tc>
        <w:tc>
          <w:tcPr>
            <w:tcW w:type="dxa" w:w="311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Model obracuna = satni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Redovni sati</w:t>
            </w:r>
          </w:p>
        </w:tc>
        <w:tc>
          <w:tcPr>
            <w:tcW w:type="dxa" w:w="153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168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168 x 750 = 126000</w:t>
            </w:r>
          </w:p>
        </w:tc>
        <w:tc>
          <w:tcPr>
            <w:tcW w:type="dxa" w:w="311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Puno radno vreme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Prekovremeni sati</w:t>
            </w:r>
          </w:p>
        </w:tc>
        <w:tc>
          <w:tcPr>
            <w:tcW w:type="dxa" w:w="153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12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12 x 750 x 1.26</w:t>
            </w:r>
          </w:p>
        </w:tc>
        <w:tc>
          <w:tcPr>
            <w:tcW w:type="dxa" w:w="311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Uvecanje po pravilniku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Nocni sati</w:t>
            </w:r>
          </w:p>
        </w:tc>
        <w:tc>
          <w:tcPr>
            <w:tcW w:type="dxa" w:w="153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38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16 x 750 x 1.26</w:t>
            </w:r>
          </w:p>
        </w:tc>
        <w:tc>
          <w:tcPr>
            <w:tcW w:type="dxa" w:w="311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Poseban dodatak</w:t>
            </w:r>
          </w:p>
        </w:tc>
      </w:tr>
    </w:tbl>
    <w:p/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Obratiti paznju da isti sat ne bude obracunat dva puta kroz razlicite sifre.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Ako postoji rad na praznik, uneti kroz posebnu sifru primanja.</w:t>
      </w:r>
    </w:p>
    <w:p>
      <w:pPr>
        <w:pStyle w:val="Heading2"/>
      </w:pPr>
      <w:r>
        <w:t>Primer 3: Bolovanje do 30 dana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608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Ulazni podatak</w:t>
            </w:r>
          </w:p>
        </w:tc>
        <w:tc>
          <w:tcPr>
            <w:tcW w:type="dxa" w:w="1417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Vrednost</w:t>
            </w:r>
          </w:p>
        </w:tc>
        <w:tc>
          <w:tcPr>
            <w:tcW w:type="dxa" w:w="2608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Unos</w:t>
            </w:r>
          </w:p>
        </w:tc>
        <w:tc>
          <w:tcPr>
            <w:tcW w:type="dxa" w:w="3005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Kontrola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Osnovica za naknadu</w:t>
            </w:r>
          </w:p>
        </w:tc>
        <w:tc>
          <w:tcPr>
            <w:tcW w:type="dxa" w:w="141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Prosek prethodnih meseci</w:t>
            </w:r>
          </w:p>
        </w:tc>
        <w:tc>
          <w:tcPr>
            <w:tcW w:type="dxa" w:w="260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Kartica Odsustva</w:t>
            </w:r>
          </w:p>
        </w:tc>
        <w:tc>
          <w:tcPr>
            <w:tcW w:type="dxa" w:w="3005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Poreklo osnovice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Broj dana bolovanja</w:t>
            </w:r>
          </w:p>
        </w:tc>
        <w:tc>
          <w:tcPr>
            <w:tcW w:type="dxa" w:w="141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6</w:t>
            </w:r>
          </w:p>
        </w:tc>
        <w:tc>
          <w:tcPr>
            <w:tcW w:type="dxa" w:w="260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Kartica Odsustva</w:t>
            </w:r>
          </w:p>
        </w:tc>
        <w:tc>
          <w:tcPr>
            <w:tcW w:type="dxa" w:w="3005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Kalendarski i radni dani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Procenat naknade</w:t>
            </w:r>
          </w:p>
        </w:tc>
        <w:tc>
          <w:tcPr>
            <w:tcW w:type="dxa" w:w="141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65% ili 100%</w:t>
            </w:r>
          </w:p>
        </w:tc>
        <w:tc>
          <w:tcPr>
            <w:tcW w:type="dxa" w:w="260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Sifra odsustva</w:t>
            </w:r>
          </w:p>
        </w:tc>
        <w:tc>
          <w:tcPr>
            <w:tcW w:type="dxa" w:w="3005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Po osnovu doznake</w:t>
            </w:r>
          </w:p>
        </w:tc>
      </w:tr>
      <w:tr>
        <w:tc>
          <w:tcPr>
            <w:tcW w:type="dxa" w:w="260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Teret isplate</w:t>
            </w:r>
          </w:p>
        </w:tc>
        <w:tc>
          <w:tcPr>
            <w:tcW w:type="dxa" w:w="141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Poslodavac</w:t>
            </w:r>
          </w:p>
        </w:tc>
        <w:tc>
          <w:tcPr>
            <w:tcW w:type="dxa" w:w="260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Parametri odsustva</w:t>
            </w:r>
          </w:p>
        </w:tc>
        <w:tc>
          <w:tcPr>
            <w:tcW w:type="dxa" w:w="3005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Do 30 dana</w:t>
            </w:r>
          </w:p>
        </w:tc>
      </w:tr>
    </w:tbl>
    <w:p/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Sifru odsustva birati striktno prema vrsti bolovanja iz dokumentacije.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Proveriti da su radni dani i sati bolovanja usaglaseni sa fondom meseca.</w:t>
      </w:r>
    </w:p>
    <w:p>
      <w:pPr>
        <w:pStyle w:val="Heading2"/>
      </w:pPr>
      <w:r>
        <w:t>Primer 4: Bolovanje preko 30 dana (refundacija)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737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Korak</w:t>
            </w:r>
          </w:p>
        </w:tc>
        <w:tc>
          <w:tcPr>
            <w:tcW w:type="dxa" w:w="2948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Radnja u FIN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Izlaz</w:t>
            </w:r>
          </w:p>
        </w:tc>
        <w:tc>
          <w:tcPr>
            <w:tcW w:type="dxa" w:w="3685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Napomena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Evidentirati odsustvo preko 30 dana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Obracun naknade</w:t>
            </w:r>
          </w:p>
        </w:tc>
        <w:tc>
          <w:tcPr>
            <w:tcW w:type="dxa" w:w="3685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Sifra: bolovanje &gt;30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Razdvojiti teret poslodavca i teret fonda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Pregled razdvajanja</w:t>
            </w:r>
          </w:p>
        </w:tc>
        <w:tc>
          <w:tcPr>
            <w:tcW w:type="dxa" w:w="3685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Bitno za refundaciju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Generisati specifikaciju za refundaciju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Izvestaj za fond</w:t>
            </w:r>
          </w:p>
        </w:tc>
        <w:tc>
          <w:tcPr>
            <w:tcW w:type="dxa" w:w="3685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Proveriti period i zaposlenog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Knjizenje razlike</w:t>
            </w:r>
          </w:p>
        </w:tc>
        <w:tc>
          <w:tcPr>
            <w:tcW w:type="dxa" w:w="226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Nalog za knjizenje</w:t>
            </w:r>
          </w:p>
        </w:tc>
        <w:tc>
          <w:tcPr>
            <w:tcW w:type="dxa" w:w="3685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Usaglasiti sa finansijama</w:t>
            </w:r>
          </w:p>
        </w:tc>
      </w:tr>
    </w:tbl>
    <w:p/>
    <w:p>
      <w:pPr>
        <w:pStyle w:val="Heading2"/>
      </w:pPr>
      <w:r>
        <w:t>Primer 5: Korektivni obracun prethodnog meseca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Otvorite korektivni period za mesec koji se menja (npr. 03/2026 korekcija).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Kopirajte originalni obracun u korektivni dokument.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Izmenite samo stavke koje su pogresne (npr. broj sati ili sifru primanja).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Pokrenite obracun razlike i proverite neto/bruto razliku po zaposlenom.</w:t>
      </w:r>
    </w:p>
    <w:p>
      <w:pPr>
        <w:pStyle w:val="ListNumber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Izvezite posebne obrasce za korekciju i uradite knjizenje razlike.</w:t>
      </w:r>
    </w:p>
    <w:p>
      <w:pPr>
        <w:pStyle w:val="Heading1"/>
      </w:pPr>
      <w:r>
        <w:t>7. Isplata, obrasci i knjizenje</w:t>
      </w:r>
    </w:p>
    <w:p>
      <w:pPr>
        <w:pStyle w:val="Heading2"/>
      </w:pPr>
      <w:r>
        <w:t>7.1 Isplata preko banke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Nakon zakljucenja obracuna generisati datoteku za banku.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Validirati broj racuna zaposlenih pre slanja naloga.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Sacuvati potvrdu banke i vezati je uz obracun kao dokaz izvrsene isplate.</w:t>
      </w:r>
    </w:p>
    <w:p>
      <w:pPr>
        <w:pStyle w:val="Heading2"/>
      </w:pPr>
      <w:r>
        <w:t>7.2 Zakonski obrasci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Generisati poreske obrasce iz menija Izvestaji &gt; Obrasci.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Pre slanja proveriti sumarne iznose i broj zaposlenih u obrascu.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Arhivirati poslate XML/PDF fajlove po mesecu i godini.</w:t>
      </w:r>
    </w:p>
    <w:p>
      <w:pPr>
        <w:pStyle w:val="Heading2"/>
      </w:pPr>
      <w:r>
        <w:t>7.3 Automatsko knjizenje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sz w:val="22"/>
        </w:rPr>
        <w:t>Ako su konta pravilno povezana, FIN moze automatski da formira nalog za knjizenje: troskovi zarada, obaveze prema zaposlenima, porez i doprinosi, kao i obustave.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984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Kontrolna tacka</w:t>
            </w:r>
          </w:p>
        </w:tc>
        <w:tc>
          <w:tcPr>
            <w:tcW w:type="dxa" w:w="2551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Sta proveriti</w:t>
            </w:r>
          </w:p>
        </w:tc>
        <w:tc>
          <w:tcPr>
            <w:tcW w:type="dxa" w:w="2551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Ocekivani rezultat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Akcija ako nije dobro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Suma bruto</w:t>
            </w:r>
          </w:p>
        </w:tc>
        <w:tc>
          <w:tcPr>
            <w:tcW w:type="dxa" w:w="255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Ukupan bruto po obracunu</w:t>
            </w:r>
          </w:p>
        </w:tc>
        <w:tc>
          <w:tcPr>
            <w:tcW w:type="dxa" w:w="255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Poklapa se sa izvestajem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Proveri sifre primanja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Suma neto</w:t>
            </w:r>
          </w:p>
        </w:tc>
        <w:tc>
          <w:tcPr>
            <w:tcW w:type="dxa" w:w="255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Ukupno za isplatu</w:t>
            </w:r>
          </w:p>
        </w:tc>
        <w:tc>
          <w:tcPr>
            <w:tcW w:type="dxa" w:w="255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Poklapa se sa nalogom banke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Proveri obustave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Porez+doprinosi</w:t>
            </w:r>
          </w:p>
        </w:tc>
        <w:tc>
          <w:tcPr>
            <w:tcW w:type="dxa" w:w="255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Ukupne obaveze</w:t>
            </w:r>
          </w:p>
        </w:tc>
        <w:tc>
          <w:tcPr>
            <w:tcW w:type="dxa" w:w="255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Poklapa se sa poreskim izvestajem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Osvezi parametre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Konta obustava</w:t>
            </w:r>
          </w:p>
        </w:tc>
        <w:tc>
          <w:tcPr>
            <w:tcW w:type="dxa" w:w="255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Prenos ka poveriocima</w:t>
            </w:r>
          </w:p>
        </w:tc>
        <w:tc>
          <w:tcPr>
            <w:tcW w:type="dxa" w:w="255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Bez razlike po partnerima</w:t>
            </w:r>
          </w:p>
        </w:tc>
        <w:tc>
          <w:tcPr>
            <w:tcW w:type="dxa" w:w="272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Proveri vrste obustava</w:t>
            </w:r>
          </w:p>
        </w:tc>
      </w:tr>
    </w:tbl>
    <w:p/>
    <w:p>
      <w:pPr>
        <w:pStyle w:val="Heading1"/>
      </w:pPr>
      <w:r>
        <w:t>8. Korekcije i storno obracuna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sz w:val="22"/>
        </w:rPr>
        <w:t>Ako obracun nije isplacen, preporuka je storno i ponovni obracun. Ako je obracun vec isplacen, radi se korektivni obracun razlike.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Storno pre isplate: vratiti status obracuna, ispraviti podatke, obracunati ponovo.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Korekcija posle isplate: obracun razlike i posebni nalozi za doplatu/preplatu.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Sve korekcije obavezno dokumentovati kroz napomenu i internu odluku.</w:t>
      </w:r>
    </w:p>
    <w:p>
      <w:pPr>
        <w:pStyle w:val="Heading1"/>
      </w:pPr>
      <w:r>
        <w:t>9. Kontrolna lista za zatvaranje meseca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80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R.br.</w:t>
            </w:r>
          </w:p>
        </w:tc>
        <w:tc>
          <w:tcPr>
            <w:tcW w:type="dxa" w:w="4195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Kontrola</w:t>
            </w:r>
          </w:p>
        </w:tc>
        <w:tc>
          <w:tcPr>
            <w:tcW w:type="dxa" w:w="1134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Odgovorno lice</w:t>
            </w:r>
          </w:p>
        </w:tc>
        <w:tc>
          <w:tcPr>
            <w:tcW w:type="dxa" w:w="1417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Datum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1</w:t>
            </w:r>
          </w:p>
        </w:tc>
        <w:tc>
          <w:tcPr>
            <w:tcW w:type="dxa" w:w="4195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Svi zaposleni imaju fond sati ili odsustvo</w:t>
            </w:r>
          </w:p>
        </w:tc>
        <w:tc>
          <w:tcPr>
            <w:tcW w:type="dxa" w:w="1134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141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2</w:t>
            </w:r>
          </w:p>
        </w:tc>
        <w:tc>
          <w:tcPr>
            <w:tcW w:type="dxa" w:w="4195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Nema negativnih neto iznosa</w:t>
            </w:r>
          </w:p>
        </w:tc>
        <w:tc>
          <w:tcPr>
            <w:tcW w:type="dxa" w:w="1134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141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3</w:t>
            </w:r>
          </w:p>
        </w:tc>
        <w:tc>
          <w:tcPr>
            <w:tcW w:type="dxa" w:w="4195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Obustave su validirane po ugovorima</w:t>
            </w:r>
          </w:p>
        </w:tc>
        <w:tc>
          <w:tcPr>
            <w:tcW w:type="dxa" w:w="1134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141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4</w:t>
            </w:r>
          </w:p>
        </w:tc>
        <w:tc>
          <w:tcPr>
            <w:tcW w:type="dxa" w:w="4195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Bankarski fajl uspesno prosao validaciju</w:t>
            </w:r>
          </w:p>
        </w:tc>
        <w:tc>
          <w:tcPr>
            <w:tcW w:type="dxa" w:w="1134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141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5</w:t>
            </w:r>
          </w:p>
        </w:tc>
        <w:tc>
          <w:tcPr>
            <w:tcW w:type="dxa" w:w="4195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Obrasci generisani i provereni</w:t>
            </w:r>
          </w:p>
        </w:tc>
        <w:tc>
          <w:tcPr>
            <w:tcW w:type="dxa" w:w="1134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141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6</w:t>
            </w:r>
          </w:p>
        </w:tc>
        <w:tc>
          <w:tcPr>
            <w:tcW w:type="dxa" w:w="4195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Nalog za knjizenje prenet u finansijsko</w:t>
            </w:r>
          </w:p>
        </w:tc>
        <w:tc>
          <w:tcPr>
            <w:tcW w:type="dxa" w:w="1134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141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7</w:t>
            </w:r>
          </w:p>
        </w:tc>
        <w:tc>
          <w:tcPr>
            <w:tcW w:type="dxa" w:w="4195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Arhiva obracuna kompletirana</w:t>
            </w:r>
          </w:p>
        </w:tc>
        <w:tc>
          <w:tcPr>
            <w:tcW w:type="dxa" w:w="1134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</w:t>
            </w:r>
          </w:p>
        </w:tc>
        <w:tc>
          <w:tcPr>
            <w:tcW w:type="dxa" w:w="1417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</w:t>
            </w:r>
          </w:p>
        </w:tc>
      </w:tr>
    </w:tbl>
    <w:p/>
    <w:p>
      <w:pPr>
        <w:pStyle w:val="Heading1"/>
      </w:pPr>
      <w:r>
        <w:t>10. Najcesce greske i resenja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118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Problem</w:t>
            </w:r>
          </w:p>
        </w:tc>
        <w:tc>
          <w:tcPr>
            <w:tcW w:type="dxa" w:w="3118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Najcesci uzrok</w:t>
            </w:r>
          </w:p>
        </w:tc>
        <w:tc>
          <w:tcPr>
            <w:tcW w:type="dxa" w:w="3402"/>
            <w:vAlign w:val="center"/>
          </w:tcPr>
          <w:p>
            <w:pPr>
              <w:spacing w:before="60" w:after="60" w:line="240" w:lineRule="auto"/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Resenje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Neto iznos neocekivano mali</w:t>
            </w:r>
          </w:p>
        </w:tc>
        <w:tc>
          <w:tcPr>
            <w:tcW w:type="dxa" w:w="311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Dupla obustava ili pogresan broj sati</w:t>
            </w:r>
          </w:p>
        </w:tc>
        <w:tc>
          <w:tcPr>
            <w:tcW w:type="dxa" w:w="3402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Proveriti obustave i ulazne sate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Pogresan porez za zaposlenog</w:t>
            </w:r>
          </w:p>
        </w:tc>
        <w:tc>
          <w:tcPr>
            <w:tcW w:type="dxa" w:w="311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Pogresna poreska opstina ili status</w:t>
            </w:r>
          </w:p>
        </w:tc>
        <w:tc>
          <w:tcPr>
            <w:tcW w:type="dxa" w:w="3402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Azurirati poreske parametre zaposlenog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Obrazac ne prolazi validaciju</w:t>
            </w:r>
          </w:p>
        </w:tc>
        <w:tc>
          <w:tcPr>
            <w:tcW w:type="dxa" w:w="311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Nedostaje obavezno polje u maticnim podacima</w:t>
            </w:r>
          </w:p>
        </w:tc>
        <w:tc>
          <w:tcPr>
            <w:tcW w:type="dxa" w:w="3402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Dopuniti JMBG/opstinu/sifru osiguranja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Razlika izmedju obracuna i knjizenja</w:t>
            </w:r>
          </w:p>
        </w:tc>
        <w:tc>
          <w:tcPr>
            <w:tcW w:type="dxa" w:w="3118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Nisu vezana konta na sifarniku</w:t>
            </w:r>
          </w:p>
        </w:tc>
        <w:tc>
          <w:tcPr>
            <w:tcW w:type="dxa" w:w="3402"/>
            <w:vAlign w:val="center"/>
          </w:tcPr>
          <w:p>
            <w:pPr>
              <w:spacing w:before="60" w:after="6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sz w:val="22"/>
              </w:rPr>
              <w:t>Povezati konta i ponovo formirati nalog</w:t>
            </w:r>
          </w:p>
        </w:tc>
      </w:tr>
    </w:tbl>
    <w:p/>
    <w:p>
      <w:pPr>
        <w:pStyle w:val="Heading1"/>
      </w:pPr>
      <w:r>
        <w:t>Dodatak A - Brza mapa menija (primer)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Sifarnici &gt; Vrste primanja / Vrste obustava / Vrste odsustava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Kadrovi &gt; Zaposleni &gt; Maticni podaci / Ugovori / Banka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Obracun &gt; Novi obracun &gt; Unos sati i dodataka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Izvestaji &gt; Platni listici / Sumarni izvestaj / Obrasci</w:t>
      </w:r>
    </w:p>
    <w:p>
      <w:pPr>
        <w:pStyle w:val="ListBullet"/>
        <w:spacing w:before="0" w:after="80" w:line="276" w:lineRule="auto"/>
      </w:pPr>
      <w:r>
        <w:rPr>
          <w:rFonts w:ascii="Calibri" w:hAnsi="Calibri"/>
          <w:b w:val="0"/>
          <w:i w:val="0"/>
          <w:sz w:val="22"/>
        </w:rPr>
        <w:t>Integracije &gt; Izvoz za banku / Nalog za knjizenje</w:t>
      </w:r>
    </w:p>
    <w:p>
      <w:pPr>
        <w:pStyle w:val="Heading1"/>
      </w:pPr>
      <w:r>
        <w:t>Dodatak B - Operativni savet za timski rad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  <w:sz w:val="22"/>
        </w:rPr>
        <w:t>U praksi najbolje rezultate daje ritam rada u tri koraka: (1) HR zakljuci evidencije, (2) obracun uradi probni prolaz i kontrolu, (3) finansije potvrde knjizenje i isplatu. Na ovaj nacin se znacajno smanjuju korekcije.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/>
        <w:b w:val="0"/>
        <w:i w:val="0"/>
        <w:color w:val="555555"/>
        <w:sz w:val="18"/>
      </w:rPr>
      <w:t>FIN Zarade - Operativno uputstvo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