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d4kl3tzmka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Pokecódigo</w:t>
      </w:r>
    </w:p>
    <w:p w:rsidR="00000000" w:rsidDel="00000000" w:rsidP="00000000" w:rsidRDefault="00000000" w:rsidRPr="00000000" w14:paraId="00000004">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Sonorización Pokémon</w:t>
      </w:r>
    </w:p>
    <w:p w:rsidR="00000000" w:rsidDel="00000000" w:rsidP="00000000" w:rsidRDefault="00000000" w:rsidRPr="00000000" w14:paraId="00000006">
      <w:pPr>
        <w:jc w:val="center"/>
        <w:rPr>
          <w:rFonts w:ascii="Times New Roman" w:cs="Times New Roman" w:eastAsia="Times New Roman" w:hAnsi="Times New Roman"/>
          <w:color w:val="666666"/>
          <w:sz w:val="52"/>
          <w:szCs w:val="5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666666"/>
          <w:sz w:val="52"/>
          <w:szCs w:val="52"/>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color w:val="666666"/>
          <w:sz w:val="52"/>
          <w:szCs w:val="52"/>
        </w:rPr>
      </w:pPr>
      <w:r w:rsidDel="00000000" w:rsidR="00000000" w:rsidRPr="00000000">
        <w:rPr>
          <w:rFonts w:ascii="Times New Roman" w:cs="Times New Roman" w:eastAsia="Times New Roman" w:hAnsi="Times New Roman"/>
          <w:color w:val="666666"/>
          <w:sz w:val="52"/>
          <w:szCs w:val="52"/>
          <w:rtl w:val="0"/>
        </w:rPr>
        <w:t xml:space="preserve">20 de noviembre del 2024</w:t>
      </w:r>
    </w:p>
    <w:p w:rsidR="00000000" w:rsidDel="00000000" w:rsidP="00000000" w:rsidRDefault="00000000" w:rsidRPr="00000000" w14:paraId="00000009">
      <w:pPr>
        <w:spacing w:line="360" w:lineRule="auto"/>
        <w:jc w:val="center"/>
        <w:rPr>
          <w:rFonts w:ascii="Times New Roman" w:cs="Times New Roman" w:eastAsia="Times New Roman" w:hAnsi="Times New Roman"/>
          <w:color w:val="666666"/>
          <w:sz w:val="52"/>
          <w:szCs w:val="5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color w:val="666666"/>
          <w:sz w:val="52"/>
          <w:szCs w:val="52"/>
        </w:rPr>
      </w:pPr>
      <w:r w:rsidDel="00000000" w:rsidR="00000000" w:rsidRPr="00000000">
        <w:rPr>
          <w:rFonts w:ascii="Times New Roman" w:cs="Times New Roman" w:eastAsia="Times New Roman" w:hAnsi="Times New Roman"/>
          <w:color w:val="666666"/>
          <w:sz w:val="52"/>
          <w:szCs w:val="52"/>
          <w:rtl w:val="0"/>
        </w:rPr>
        <w:t xml:space="preserve">Castellanos Jiménez Oscar Hiram</w:t>
      </w:r>
    </w:p>
    <w:p w:rsidR="00000000" w:rsidDel="00000000" w:rsidP="00000000" w:rsidRDefault="00000000" w:rsidRPr="00000000" w14:paraId="0000000B">
      <w:pPr>
        <w:spacing w:line="360" w:lineRule="auto"/>
        <w:jc w:val="center"/>
        <w:rPr>
          <w:rFonts w:ascii="Times New Roman" w:cs="Times New Roman" w:eastAsia="Times New Roman" w:hAnsi="Times New Roman"/>
          <w:color w:val="666666"/>
          <w:sz w:val="52"/>
          <w:szCs w:val="52"/>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color w:val="666666"/>
          <w:sz w:val="52"/>
          <w:szCs w:val="52"/>
        </w:rPr>
      </w:pPr>
      <w:r w:rsidDel="00000000" w:rsidR="00000000" w:rsidRPr="00000000">
        <w:rPr>
          <w:rFonts w:ascii="Times New Roman" w:cs="Times New Roman" w:eastAsia="Times New Roman" w:hAnsi="Times New Roman"/>
          <w:color w:val="666666"/>
          <w:sz w:val="52"/>
          <w:szCs w:val="52"/>
          <w:rtl w:val="0"/>
        </w:rPr>
        <w:t xml:space="preserve">Música y Tecnología Artística</w:t>
      </w:r>
    </w:p>
    <w:p w:rsidR="00000000" w:rsidDel="00000000" w:rsidP="00000000" w:rsidRDefault="00000000" w:rsidRPr="00000000" w14:paraId="0000000D">
      <w:pPr>
        <w:spacing w:line="360" w:lineRule="auto"/>
        <w:jc w:val="center"/>
        <w:rPr>
          <w:rFonts w:ascii="Times New Roman" w:cs="Times New Roman" w:eastAsia="Times New Roman" w:hAnsi="Times New Roman"/>
          <w:color w:val="666666"/>
          <w:sz w:val="52"/>
          <w:szCs w:val="52"/>
        </w:rPr>
      </w:pPr>
      <w:r w:rsidDel="00000000" w:rsidR="00000000" w:rsidRPr="00000000">
        <w:rPr>
          <w:rtl w:val="0"/>
        </w:rPr>
      </w:r>
    </w:p>
    <w:p w:rsidR="00000000" w:rsidDel="00000000" w:rsidP="00000000" w:rsidRDefault="00000000" w:rsidRPr="00000000" w14:paraId="0000000E">
      <w:pPr>
        <w:jc w:val="center"/>
        <w:rPr>
          <w:rFonts w:ascii="Amatic SC" w:cs="Amatic SC" w:eastAsia="Amatic SC" w:hAnsi="Amatic SC"/>
          <w:b w:val="1"/>
          <w:bCs w:val="1"/>
          <w:sz w:val="80"/>
          <w:szCs w:val="80"/>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b w:val="1"/>
          <w:bCs w:val="1"/>
          <w:sz w:val="80"/>
          <w:szCs w:val="80"/>
          <w:rtl w:val="0"/>
        </w:rPr>
        <w:t xml:space="preserve">PokeCódigo</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Poké Código es un proyecto inspirado en mi pasión por la franquicia Pokémon, la cuál decidí plasmar en una pieza compositiva para la materia Sistemas Composicionales Interactivos. La idea surgió de utilizar </w:t>
      </w:r>
      <w:r w:rsidDel="00000000" w:rsidR="00000000" w:rsidRPr="00000000">
        <w:rPr>
          <w:rFonts w:ascii="Times New Roman" w:cs="Times New Roman" w:eastAsia="Times New Roman" w:hAnsi="Times New Roman"/>
          <w:sz w:val="28"/>
          <w:szCs w:val="28"/>
          <w:rtl w:val="0"/>
        </w:rPr>
        <w:t xml:space="preserve">los valores visibles y ocultos</w:t>
      </w:r>
      <w:r w:rsidDel="00000000" w:rsidR="00000000" w:rsidRPr="00000000">
        <w:rPr>
          <w:rFonts w:ascii="Times New Roman" w:cs="Times New Roman" w:eastAsia="Times New Roman" w:hAnsi="Times New Roman"/>
          <w:sz w:val="28"/>
          <w:szCs w:val="28"/>
          <w:rtl w:val="0"/>
        </w:rPr>
        <w:t xml:space="preserve"> de algunos de mis equipos Pokémon como base para sintetizadores (Vida, velocidad, defensa física, defensa especial, ataque físico y ataque especial). Aunque inicialmente consideré otras posibilidades, como el uso de samples, la propuesta de un amigo me llevó a explorar un enfoque diferente: emplear los valores y </w:t>
      </w:r>
      <w:r w:rsidDel="00000000" w:rsidR="00000000" w:rsidRPr="00000000">
        <w:rPr>
          <w:rFonts w:ascii="Times New Roman" w:cs="Times New Roman" w:eastAsia="Times New Roman" w:hAnsi="Times New Roman"/>
          <w:sz w:val="28"/>
          <w:szCs w:val="28"/>
          <w:rtl w:val="0"/>
        </w:rPr>
        <w:t xml:space="preserve">estadísticas de mis Pokémon</w:t>
      </w:r>
      <w:r w:rsidDel="00000000" w:rsidR="00000000" w:rsidRPr="00000000">
        <w:rPr>
          <w:rFonts w:ascii="Times New Roman" w:cs="Times New Roman" w:eastAsia="Times New Roman" w:hAnsi="Times New Roman"/>
          <w:sz w:val="28"/>
          <w:szCs w:val="28"/>
          <w:rtl w:val="0"/>
        </w:rPr>
        <w:t xml:space="preserve"> para generar parámetros MIDI y construir melodías. Posteriormente, presenté esta idea a mis profesores durante las asesorías a quienes les llamó la atención la idea, lo que me confirmó que este era el camino que quería seguir para desarrollar mi pieza.</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proceso comenzó con la creación de una melodía acompañada que </w:t>
      </w:r>
      <w:r w:rsidDel="00000000" w:rsidR="00000000" w:rsidRPr="00000000">
        <w:rPr>
          <w:rFonts w:ascii="Times New Roman" w:cs="Times New Roman" w:eastAsia="Times New Roman" w:hAnsi="Times New Roman"/>
          <w:sz w:val="28"/>
          <w:szCs w:val="28"/>
          <w:rtl w:val="0"/>
        </w:rPr>
        <w:t xml:space="preserve">evocara</w:t>
      </w:r>
      <w:r w:rsidDel="00000000" w:rsidR="00000000" w:rsidRPr="00000000">
        <w:rPr>
          <w:rFonts w:ascii="Times New Roman" w:cs="Times New Roman" w:eastAsia="Times New Roman" w:hAnsi="Times New Roman"/>
          <w:sz w:val="28"/>
          <w:szCs w:val="28"/>
          <w:rtl w:val="0"/>
        </w:rPr>
        <w:t xml:space="preserve"> el estilo de la música 8-bit de pokemon, especialmente el de los primeros momentos al iniciar un videojuego de Pokémon. Luego, generé diversas melodías basándome en las estadísticas de ataque y ataque especial, defensa y defensa especial, y puntos de vida y velocidad, usando estos valores para definir las notas. De estas melodías genere otras con variaciones en la duración, la articulación y la altura de las notas.</w:t>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 cada una de estas melodías hay una melodía que se repite </w:t>
      </w:r>
      <w:r w:rsidDel="00000000" w:rsidR="00000000" w:rsidRPr="00000000">
        <w:rPr>
          <w:rFonts w:ascii="Times New Roman" w:cs="Times New Roman" w:eastAsia="Times New Roman" w:hAnsi="Times New Roman"/>
          <w:sz w:val="28"/>
          <w:szCs w:val="28"/>
          <w:rtl w:val="0"/>
        </w:rPr>
        <w:t xml:space="preserve">llamada </w:t>
      </w:r>
      <w:r w:rsidDel="00000000" w:rsidR="00000000" w:rsidRPr="00000000">
        <w:rPr>
          <w:rFonts w:ascii="Times New Roman" w:cs="Times New Roman" w:eastAsia="Times New Roman" w:hAnsi="Times New Roman"/>
          <w:i w:val="1"/>
          <w:iCs w:val="1"/>
          <w:sz w:val="28"/>
          <w:szCs w:val="28"/>
          <w:rtl w:val="0"/>
        </w:rPr>
        <w:t xml:space="preserve">\nivel</w:t>
      </w:r>
      <w:r w:rsidDel="00000000" w:rsidR="00000000" w:rsidRPr="00000000">
        <w:rPr>
          <w:rFonts w:ascii="Times New Roman" w:cs="Times New Roman" w:eastAsia="Times New Roman" w:hAnsi="Times New Roman"/>
          <w:sz w:val="28"/>
          <w:szCs w:val="28"/>
          <w:rtl w:val="0"/>
        </w:rPr>
        <w:t xml:space="preserve">, la cual emplea los niveles de todos los Pokémon capturados en esa partida. Para acompañar a esta sencilla melodía repetitiva hice melodías inspiradas en diferentes Pokémon que me gustan y que forman parte de mi equipo, incluyendo los tres iniciales de la región de </w:t>
      </w:r>
      <w:r w:rsidDel="00000000" w:rsidR="00000000" w:rsidRPr="00000000">
        <w:rPr>
          <w:rFonts w:ascii="Times New Roman" w:cs="Times New Roman" w:eastAsia="Times New Roman" w:hAnsi="Times New Roman"/>
          <w:sz w:val="28"/>
          <w:szCs w:val="28"/>
          <w:rtl w:val="0"/>
        </w:rPr>
        <w:t xml:space="preserve">Kanto y otros pokemones populares como Jolteon y Gyarados.</w:t>
      </w:r>
      <w:r w:rsidDel="00000000" w:rsidR="00000000" w:rsidRPr="00000000">
        <w:rPr>
          <w:rFonts w:ascii="Times New Roman" w:cs="Times New Roman" w:eastAsia="Times New Roman" w:hAnsi="Times New Roman"/>
          <w:sz w:val="28"/>
          <w:szCs w:val="28"/>
          <w:rtl w:val="0"/>
        </w:rPr>
        <w:t xml:space="preserve"> Estas melodías se activan y desactivan manualmente mientras </w:t>
      </w:r>
      <w:r w:rsidDel="00000000" w:rsidR="00000000" w:rsidRPr="00000000">
        <w:rPr>
          <w:rFonts w:ascii="Times New Roman" w:cs="Times New Roman" w:eastAsia="Times New Roman" w:hAnsi="Times New Roman"/>
          <w:i w:val="1"/>
          <w:iCs w:val="1"/>
          <w:sz w:val="28"/>
          <w:szCs w:val="28"/>
          <w:rtl w:val="0"/>
        </w:rPr>
        <w:t xml:space="preserve">/nivel</w:t>
      </w:r>
      <w:r w:rsidDel="00000000" w:rsidR="00000000" w:rsidRPr="00000000">
        <w:rPr>
          <w:rFonts w:ascii="Times New Roman" w:cs="Times New Roman" w:eastAsia="Times New Roman" w:hAnsi="Times New Roman"/>
          <w:sz w:val="28"/>
          <w:szCs w:val="28"/>
          <w:rtl w:val="0"/>
        </w:rPr>
        <w:t xml:space="preserve"> se desarrolla.</w:t>
      </w:r>
    </w:p>
    <w:p w:rsidR="00000000" w:rsidDel="00000000" w:rsidP="00000000" w:rsidRDefault="00000000" w:rsidRPr="00000000" w14:paraId="000000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both"/>
        <w:rPr>
          <w:rFonts w:ascii="Amatic SC" w:cs="Amatic SC" w:eastAsia="Amatic SC" w:hAnsi="Amatic SC"/>
          <w:b w:val="1"/>
          <w:bCs w:val="1"/>
          <w:sz w:val="28"/>
          <w:szCs w:val="28"/>
        </w:rPr>
      </w:pPr>
      <w:r w:rsidDel="00000000" w:rsidR="00000000" w:rsidRPr="00000000">
        <w:rPr>
          <w:rFonts w:ascii="Times New Roman" w:cs="Times New Roman" w:eastAsia="Times New Roman" w:hAnsi="Times New Roman"/>
          <w:sz w:val="28"/>
          <w:szCs w:val="28"/>
          <w:rtl w:val="0"/>
        </w:rPr>
        <w:t xml:space="preserve">Finalmente, compuse una melodía con acompañamiento que busca imitar el estilo de las canciones 8-bit que suenan al completar/ganar el juego tras vencer al campeón de la región y durante los créditos del juego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19">
      <w:pPr>
        <w:jc w:val="both"/>
        <w:rPr>
          <w:rFonts w:ascii="Amatic SC" w:cs="Amatic SC" w:eastAsia="Amatic SC" w:hAnsi="Amatic SC"/>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Manual PokeCódigo</w:t>
      </w:r>
    </w:p>
    <w:p w:rsidR="00000000" w:rsidDel="00000000" w:rsidP="00000000" w:rsidRDefault="00000000" w:rsidRPr="00000000" w14:paraId="0000001B">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Poco es requerido para el debido funcionamiento de este código, se compone esencialmente de 3 archivos, uno que almacena los sonidos e instrumentos usados en P</w:t>
      </w:r>
      <w:r w:rsidDel="00000000" w:rsidR="00000000" w:rsidRPr="00000000">
        <w:rPr>
          <w:rFonts w:ascii="Times New Roman" w:cs="Times New Roman" w:eastAsia="Times New Roman" w:hAnsi="Times New Roman"/>
          <w:sz w:val="26"/>
          <w:szCs w:val="26"/>
          <w:rtl w:val="0"/>
        </w:rPr>
        <w:t xml:space="preserve">defs</w:t>
      </w:r>
      <w:r w:rsidDel="00000000" w:rsidR="00000000" w:rsidRPr="00000000">
        <w:rPr>
          <w:rFonts w:ascii="Times New Roman" w:cs="Times New Roman" w:eastAsia="Times New Roman" w:hAnsi="Times New Roman"/>
          <w:sz w:val="26"/>
          <w:szCs w:val="26"/>
          <w:rtl w:val="0"/>
        </w:rPr>
        <w:t xml:space="preserve">, otro que almacena las melodías y armonías en variables, y  un tercero  donde se pueden correr las melodías con sus instrumentos previamente designados para que suene la pieza como debe de sonar.</w:t>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Cada uno de estos archivos está debidamente comentado y posee señalizaciones en cada módulo y dentro del código.</w:t>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código principal de la pieza incluye dos líneas que cargan todas las armonías, melodías y sonidos almacenados en los otros dos archivos. De esta manera, únicamente es necesario ejecutar estas líneas para disponer de todos los recursos sonoros y motivos utilizados en la composición:</w:t>
      </w:r>
    </w:p>
    <w:p w:rsidR="00000000" w:rsidDel="00000000" w:rsidP="00000000" w:rsidRDefault="00000000" w:rsidRPr="00000000" w14:paraId="00000021">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2">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"SynthDefsP V1.scd".loadRelative;</w:t>
      </w:r>
    </w:p>
    <w:p w:rsidR="00000000" w:rsidDel="00000000" w:rsidP="00000000" w:rsidRDefault="00000000" w:rsidRPr="00000000" w14:paraId="00000023">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"Synths Pdef V1.scd".loadRelative;</w:t>
      </w:r>
    </w:p>
    <w:p w:rsidR="00000000" w:rsidDel="00000000" w:rsidP="00000000" w:rsidRDefault="00000000" w:rsidRPr="00000000" w14:paraId="0000002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Posteriormente, se debe activar la línea de código que carga la secuencia principal de la pieza:</w:t>
      </w:r>
    </w:p>
    <w:p w:rsidR="00000000" w:rsidDel="00000000" w:rsidP="00000000" w:rsidRDefault="00000000" w:rsidRPr="00000000" w14:paraId="0000002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8">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~rolita = Pfsm([</w:t>
      </w:r>
    </w:p>
    <w:p w:rsidR="00000000" w:rsidDel="00000000" w:rsidP="00000000" w:rsidRDefault="00000000" w:rsidRPr="00000000" w14:paraId="00000029">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#[0],</w:t>
      </w:r>
    </w:p>
    <w:p w:rsidR="00000000" w:rsidDel="00000000" w:rsidP="00000000" w:rsidRDefault="00000000" w:rsidRPr="00000000" w14:paraId="0000002A">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~intro = Ptpar([0, ~</w:t>
      </w:r>
      <w:r w:rsidDel="00000000" w:rsidR="00000000" w:rsidRPr="00000000">
        <w:rPr>
          <w:rFonts w:ascii="Courier New" w:cs="Courier New" w:eastAsia="Courier New" w:hAnsi="Courier New"/>
          <w:sz w:val="18"/>
          <w:szCs w:val="18"/>
          <w:rtl w:val="0"/>
        </w:rPr>
        <w:t xml:space="preserve">melodia.finDur</w:t>
      </w:r>
      <w:r w:rsidDel="00000000" w:rsidR="00000000" w:rsidRPr="00000000">
        <w:rPr>
          <w:rFonts w:ascii="Courier New" w:cs="Courier New" w:eastAsia="Courier New" w:hAnsi="Courier New"/>
          <w:sz w:val="18"/>
          <w:szCs w:val="18"/>
          <w:rtl w:val="0"/>
        </w:rPr>
        <w:t xml:space="preserve">(80), 8, ~acordes.finDur(48), 16, ~bajo.finDur(64)], 1),</w:t>
      </w:r>
    </w:p>
    <w:p w:rsidR="00000000" w:rsidDel="00000000" w:rsidP="00000000" w:rsidRDefault="00000000" w:rsidRPr="00000000" w14:paraId="0000002B">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w:t>
      </w:r>
    </w:p>
    <w:p w:rsidR="00000000" w:rsidDel="00000000" w:rsidP="00000000" w:rsidRDefault="00000000" w:rsidRPr="00000000" w14:paraId="0000002C">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~nivelmelodia = Ptpar([0, Pdef(\nivel)], 1),</w:t>
      </w:r>
    </w:p>
    <w:p w:rsidR="00000000" w:rsidDel="00000000" w:rsidP="00000000" w:rsidRDefault="00000000" w:rsidRPr="00000000" w14:paraId="0000002D">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#[2],</w:t>
      </w:r>
    </w:p>
    <w:p w:rsidR="00000000" w:rsidDel="00000000" w:rsidP="00000000" w:rsidRDefault="00000000" w:rsidRPr="00000000" w14:paraId="0000002E">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~defensita = Ptpar([0, Pdef(\defensa2).finDur(80), 16, Pdef(\defensa3).finDur(64), 8, Pdef(\defensa4).finDur(50)], 1),</w:t>
      </w:r>
    </w:p>
    <w:p w:rsidR="00000000" w:rsidDel="00000000" w:rsidP="00000000" w:rsidRDefault="00000000" w:rsidRPr="00000000" w14:paraId="0000002F">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#[3],</w:t>
      </w:r>
    </w:p>
    <w:p w:rsidR="00000000" w:rsidDel="00000000" w:rsidP="00000000" w:rsidRDefault="00000000" w:rsidRPr="00000000" w14:paraId="00000030">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~nivelmelodia = Ptpar([0, Pdef(\nivel)], 1),</w:t>
      </w:r>
    </w:p>
    <w:p w:rsidR="00000000" w:rsidDel="00000000" w:rsidP="00000000" w:rsidRDefault="00000000" w:rsidRPr="00000000" w14:paraId="00000031">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#[4],</w:t>
      </w:r>
    </w:p>
    <w:p w:rsidR="00000000" w:rsidDel="00000000" w:rsidP="00000000" w:rsidRDefault="00000000" w:rsidRPr="00000000" w14:paraId="00000032">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~ataquito = Ptpar([0, Pdef(\ataque).finDur(72), 16, Pdef(\ataque2).finDur(64), 8, Pdef(\ataque3).finDur(40)], 1),</w:t>
      </w:r>
    </w:p>
    <w:p w:rsidR="00000000" w:rsidDel="00000000" w:rsidP="00000000" w:rsidRDefault="00000000" w:rsidRPr="00000000" w14:paraId="00000033">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#[5],</w:t>
      </w:r>
    </w:p>
    <w:p w:rsidR="00000000" w:rsidDel="00000000" w:rsidP="00000000" w:rsidRDefault="00000000" w:rsidRPr="00000000" w14:paraId="00000034">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~nivelmelodia = Ptpar([0, Pdef(\nivel)], 1),</w:t>
      </w:r>
    </w:p>
    <w:p w:rsidR="00000000" w:rsidDel="00000000" w:rsidP="00000000" w:rsidRDefault="00000000" w:rsidRPr="00000000" w14:paraId="00000035">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#[6],</w:t>
      </w:r>
    </w:p>
    <w:p w:rsidR="00000000" w:rsidDel="00000000" w:rsidP="00000000" w:rsidRDefault="00000000" w:rsidRPr="00000000" w14:paraId="00000036">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~velocito = Ptpar([0, Pdef(\speed).finDur(80), 8, Pdef(\speed2).finDur(64), 16, Pdef(\speed3).finDur(48)], 1),</w:t>
      </w:r>
    </w:p>
    <w:p w:rsidR="00000000" w:rsidDel="00000000" w:rsidP="00000000" w:rsidRDefault="00000000" w:rsidRPr="00000000" w14:paraId="00000037">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#[7],</w:t>
      </w:r>
    </w:p>
    <w:p w:rsidR="00000000" w:rsidDel="00000000" w:rsidP="00000000" w:rsidRDefault="00000000" w:rsidRPr="00000000" w14:paraId="00000038">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~final = Ptpar([0, ~melodiafinal.finDur(94), 8, ~acordesfinal.finDur(72), 16, ~bajofinal.finDur(72)], 1),</w:t>
      </w:r>
    </w:p>
    <w:p w:rsidR="00000000" w:rsidDel="00000000" w:rsidP="00000000" w:rsidRDefault="00000000" w:rsidRPr="00000000" w14:paraId="00000039">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#[8],</w:t>
      </w:r>
    </w:p>
    <w:p w:rsidR="00000000" w:rsidDel="00000000" w:rsidP="00000000" w:rsidRDefault="00000000" w:rsidRPr="00000000" w14:paraId="0000003A">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~finalfinal = Ptpar([0, ~acordesfinal.finDur(4)],1),</w:t>
      </w:r>
    </w:p>
    <w:p w:rsidR="00000000" w:rsidDel="00000000" w:rsidP="00000000" w:rsidRDefault="00000000" w:rsidRPr="00000000" w14:paraId="0000003B">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#[9],</w:t>
      </w:r>
    </w:p>
    <w:p w:rsidR="00000000" w:rsidDel="00000000" w:rsidP="00000000" w:rsidRDefault="00000000" w:rsidRPr="00000000" w14:paraId="0000003C">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nil, nil</w:t>
      </w:r>
    </w:p>
    <w:p w:rsidR="00000000" w:rsidDel="00000000" w:rsidP="00000000" w:rsidRDefault="00000000" w:rsidRPr="00000000" w14:paraId="0000003D">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E">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F">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0">
      <w:pPr>
        <w:spacing w:line="360" w:lineRule="auto"/>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6"/>
          <w:szCs w:val="26"/>
          <w:rtl w:val="0"/>
        </w:rPr>
        <w:t xml:space="preserve">A continuación, se encuentran los controles de play y stop de la pieza, mediante los cuales es posible iniciar y detener la reproducción. Para iniciar la pieza, se utiliza la primera línea de código y la segunda línea detiene la pieza:</w:t>
      </w:r>
      <w:r w:rsidDel="00000000" w:rsidR="00000000" w:rsidRPr="00000000">
        <w:rPr>
          <w:rtl w:val="0"/>
        </w:rPr>
      </w:r>
    </w:p>
    <w:p w:rsidR="00000000" w:rsidDel="00000000" w:rsidP="00000000" w:rsidRDefault="00000000" w:rsidRPr="00000000" w14:paraId="00000041">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2">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~rolitaplayer = ~rolita.play;</w:t>
      </w:r>
    </w:p>
    <w:p w:rsidR="00000000" w:rsidDel="00000000" w:rsidP="00000000" w:rsidRDefault="00000000" w:rsidRPr="00000000" w14:paraId="00000043">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~rolitaplayer.stop;</w:t>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 final de este bloque aparecen los Pdefs correspondientes a cada pokémon, diseñados para sonar exclusivamente durante la sección \nivel. Entre cada melodía, se encuentra la siguiente línea: </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sz w:val="18"/>
          <w:szCs w:val="18"/>
          <w:rtl w:val="0"/>
        </w:rPr>
        <w:t xml:space="preserve">nivelmelodia</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sz w:val="18"/>
          <w:szCs w:val="18"/>
          <w:rtl w:val="0"/>
        </w:rPr>
        <w:t xml:space="preserve">Ptpar</w:t>
      </w:r>
      <w:r w:rsidDel="00000000" w:rsidR="00000000" w:rsidRPr="00000000">
        <w:rPr>
          <w:rFonts w:ascii="Courier New" w:cs="Courier New" w:eastAsia="Courier New" w:hAnsi="Courier New"/>
          <w:sz w:val="18"/>
          <w:szCs w:val="18"/>
          <w:rtl w:val="0"/>
        </w:rPr>
        <w:t xml:space="preserve">([0, Pdef(\nivel)], 1). </w:t>
      </w:r>
    </w:p>
    <w:p w:rsidR="00000000" w:rsidDel="00000000" w:rsidP="00000000" w:rsidRDefault="00000000" w:rsidRPr="00000000" w14:paraId="00000048">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Durante esta sección, se </w:t>
      </w:r>
      <w:r w:rsidDel="00000000" w:rsidR="00000000" w:rsidRPr="00000000">
        <w:rPr>
          <w:rFonts w:ascii="Times New Roman" w:cs="Times New Roman" w:eastAsia="Times New Roman" w:hAnsi="Times New Roman"/>
          <w:sz w:val="26"/>
          <w:szCs w:val="26"/>
          <w:rtl w:val="0"/>
        </w:rPr>
        <w:t xml:space="preserve">pla</w:t>
      </w:r>
      <w:r w:rsidDel="00000000" w:rsidR="00000000" w:rsidRPr="00000000">
        <w:rPr>
          <w:rFonts w:ascii="Times New Roman" w:cs="Times New Roman" w:eastAsia="Times New Roman" w:hAnsi="Times New Roman"/>
          <w:sz w:val="26"/>
          <w:szCs w:val="26"/>
          <w:rtl w:val="0"/>
        </w:rPr>
        <w:t xml:space="preserve">ntea una participación activa de los usuarios, quienes pueden decidir activar  entre dos y cuatro de estos Pdefs. La combinación elegida da lugar a una interacción que funciona como un pequeño “combate” melódico y simbólico entre </w:t>
      </w:r>
      <w:r w:rsidDel="00000000" w:rsidR="00000000" w:rsidRPr="00000000">
        <w:rPr>
          <w:rFonts w:ascii="Times New Roman" w:cs="Times New Roman" w:eastAsia="Times New Roman" w:hAnsi="Times New Roman"/>
          <w:sz w:val="26"/>
          <w:szCs w:val="26"/>
          <w:rtl w:val="0"/>
        </w:rPr>
        <w:t xml:space="preserve">pokemones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 ejemplo, cuando concluya la primera secuencia y comience el </w:t>
      </w:r>
      <w:r w:rsidDel="00000000" w:rsidR="00000000" w:rsidRPr="00000000">
        <w:rPr>
          <w:rFonts w:ascii="Times New Roman" w:cs="Times New Roman" w:eastAsia="Times New Roman" w:hAnsi="Times New Roman"/>
          <w:i w:val="1"/>
          <w:iCs w:val="1"/>
          <w:sz w:val="26"/>
          <w:szCs w:val="26"/>
          <w:rtl w:val="0"/>
        </w:rPr>
        <w:t xml:space="preserve">fade in</w:t>
      </w:r>
      <w:r w:rsidDel="00000000" w:rsidR="00000000" w:rsidRPr="00000000">
        <w:rPr>
          <w:rFonts w:ascii="Times New Roman" w:cs="Times New Roman" w:eastAsia="Times New Roman" w:hAnsi="Times New Roman"/>
          <w:sz w:val="26"/>
          <w:szCs w:val="26"/>
          <w:rtl w:val="0"/>
        </w:rPr>
        <w:t xml:space="preserve"> de la sección \nivel, el usuario podrá activar dos de las siguientes cuatro líneas utilizando la primera línea de código de cada Pokémon que termina en .play:</w:t>
      </w:r>
    </w:p>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Pdef(\Jolteon).play</w:t>
      </w:r>
    </w:p>
    <w:p w:rsidR="00000000" w:rsidDel="00000000" w:rsidP="00000000" w:rsidRDefault="00000000" w:rsidRPr="00000000" w14:paraId="0000004E">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Pdef(\Jolteon).stop</w:t>
      </w:r>
    </w:p>
    <w:p w:rsidR="00000000" w:rsidDel="00000000" w:rsidP="00000000" w:rsidRDefault="00000000" w:rsidRPr="00000000" w14:paraId="0000004F">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Pdef(\Aron).play</w:t>
      </w:r>
    </w:p>
    <w:p w:rsidR="00000000" w:rsidDel="00000000" w:rsidP="00000000" w:rsidRDefault="00000000" w:rsidRPr="00000000" w14:paraId="00000051">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Pdef(\Aron).stop</w:t>
      </w:r>
    </w:p>
    <w:p w:rsidR="00000000" w:rsidDel="00000000" w:rsidP="00000000" w:rsidRDefault="00000000" w:rsidRPr="00000000" w14:paraId="00000052">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3">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Pdef(\Charizard).play</w:t>
      </w:r>
    </w:p>
    <w:p w:rsidR="00000000" w:rsidDel="00000000" w:rsidP="00000000" w:rsidRDefault="00000000" w:rsidRPr="00000000" w14:paraId="00000054">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Pdef(\Charizard).stop</w:t>
      </w:r>
    </w:p>
    <w:p w:rsidR="00000000" w:rsidDel="00000000" w:rsidP="00000000" w:rsidRDefault="00000000" w:rsidRPr="00000000" w14:paraId="00000055">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6">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Pdef(\Kadabra).play</w:t>
      </w:r>
    </w:p>
    <w:p w:rsidR="00000000" w:rsidDel="00000000" w:rsidP="00000000" w:rsidRDefault="00000000" w:rsidRPr="00000000" w14:paraId="00000057">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Pdef(\Kadabra).stop</w:t>
      </w:r>
    </w:p>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 finalizar esta sección, el usuario deberá detener las melodías activadas mediante sus respectivas líneas de código que terminan en .stop. Posteriormente, una nueva sección algorítmica comenzará, y cuando vuelva a iniciar el fade in de \nivel, podrán activarse otras melodías de la siguiente sección, como por ejemplo:</w:t>
      </w:r>
    </w:p>
    <w:p w:rsidR="00000000" w:rsidDel="00000000" w:rsidP="00000000" w:rsidRDefault="00000000" w:rsidRPr="00000000" w14:paraId="0000005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Pdef(\Combusken).play</w:t>
      </w:r>
    </w:p>
    <w:p w:rsidR="00000000" w:rsidDel="00000000" w:rsidP="00000000" w:rsidRDefault="00000000" w:rsidRPr="00000000" w14:paraId="0000005C">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Pdef(\Combusken).stop</w:t>
      </w:r>
    </w:p>
    <w:p w:rsidR="00000000" w:rsidDel="00000000" w:rsidP="00000000" w:rsidRDefault="00000000" w:rsidRPr="00000000" w14:paraId="0000005D">
      <w:pP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E">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Pdef(\Gyarados).play</w:t>
      </w:r>
    </w:p>
    <w:p w:rsidR="00000000" w:rsidDel="00000000" w:rsidP="00000000" w:rsidRDefault="00000000" w:rsidRPr="00000000" w14:paraId="0000005F">
      <w:pP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Pdef(\Gyarados).stop</w:t>
      </w:r>
    </w:p>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esto se repite en las tres ocasiones en las que la secuencia \nivel aparece a lo largo de la obra, hasta llegar a la secuencia \final, donde concluye la pieza.</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Conclusión</w:t>
      </w:r>
    </w:p>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Componiendo y programando esta pieza aprendí los elementos básicos de super collider además de adentrarme nuevamente en el complejo mundo de Pokémon y sus valores ocultos. Con esta composición pude ver el lado divertido de la programación en Super collider, hallé un modo de trabajar en super collider de una forma divertida y orientado a mis gustos personales.</w:t>
      </w:r>
    </w:p>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Después de esta pieza dirigí mi atención a una instalación sonora, la que más adelante está en este mismo repositorio “Supokellider”, en la que exploré la interactividad utilizando como base los sonidos y melodías que compuse para esta obra levemente interactiva.</w:t>
      </w:r>
    </w:p>
    <w:sectPr>
      <w:headerReference r:id="rId6" w:type="default"/>
      <w:headerReference r:id="rId7" w:type="first"/>
      <w:footerReference r:id="rId8"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matic S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rFonts w:ascii="Amatic SC" w:cs="Amatic SC" w:eastAsia="Amatic SC" w:hAnsi="Amatic SC"/>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5019675</wp:posOffset>
          </wp:positionH>
          <wp:positionV relativeFrom="paragraph">
            <wp:posOffset>57151</wp:posOffset>
          </wp:positionV>
          <wp:extent cx="1314450" cy="1627778"/>
          <wp:effectExtent b="0" l="0" r="0" t="0"/>
          <wp:wrapNone/>
          <wp:docPr id="2" name="image1.png"/>
          <a:graphic>
            <a:graphicData uri="http://schemas.openxmlformats.org/drawingml/2006/picture">
              <pic:pic>
                <pic:nvPicPr>
                  <pic:cNvPr id="0" name="image1.png"/>
                  <pic:cNvPicPr preferRelativeResize="0"/>
                </pic:nvPicPr>
                <pic:blipFill>
                  <a:blip r:embed="rId1"/>
                  <a:srcRect b="8693" l="10458" r="11355" t="5822"/>
                  <a:stretch>
                    <a:fillRect/>
                  </a:stretch>
                </pic:blipFill>
                <pic:spPr>
                  <a:xfrm>
                    <a:off x="0" y="0"/>
                    <a:ext cx="1314450" cy="16277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47626</wp:posOffset>
          </wp:positionV>
          <wp:extent cx="1464979" cy="1657350"/>
          <wp:effectExtent b="0" l="0" r="0" t="0"/>
          <wp:wrapNone/>
          <wp:docPr id="1" name="image2.png"/>
          <a:graphic>
            <a:graphicData uri="http://schemas.openxmlformats.org/drawingml/2006/picture">
              <pic:pic>
                <pic:nvPicPr>
                  <pic:cNvPr id="0" name="image2.png"/>
                  <pic:cNvPicPr preferRelativeResize="0"/>
                </pic:nvPicPr>
                <pic:blipFill>
                  <a:blip r:embed="rId2"/>
                  <a:srcRect b="3989" l="27163" r="27404" t="4558"/>
                  <a:stretch>
                    <a:fillRect/>
                  </a:stretch>
                </pic:blipFill>
                <pic:spPr>
                  <a:xfrm>
                    <a:off x="0" y="0"/>
                    <a:ext cx="1464979" cy="1657350"/>
                  </a:xfrm>
                  <a:prstGeom prst="rect"/>
                  <a:ln/>
                </pic:spPr>
              </pic:pic>
            </a:graphicData>
          </a:graphic>
        </wp:anchor>
      </w:drawing>
    </w:r>
  </w:p>
  <w:p w:rsidR="00000000" w:rsidDel="00000000" w:rsidP="00000000" w:rsidRDefault="00000000" w:rsidRPr="00000000" w14:paraId="0000006D">
    <w:pPr>
      <w:jc w:val="right"/>
      <w:rPr>
        <w:rFonts w:ascii="Amatic SC" w:cs="Amatic SC" w:eastAsia="Amatic SC" w:hAnsi="Amatic SC"/>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maticSC-regular.ttf"/><Relationship Id="rId2" Type="http://schemas.openxmlformats.org/officeDocument/2006/relationships/font" Target="fonts/AmaticSC-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