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Highlights</w:t>
      </w:r>
    </w:p>
    <w:p>
      <w:pPr>
        <w:spacing w:after="120"/>
        <w:ind w:left="360" w:hanging="259"/>
      </w:pPr>
      <w:r>
        <w:rPr>
          <w:rFonts w:ascii="Times New Roman" w:hAnsi="Times New Roman"/>
          <w:sz w:val="24"/>
        </w:rPr>
        <w:t>• A 10-transistor GDI-based 1-bit magnitude comparator is proposed.</w:t>
      </w:r>
    </w:p>
    <w:p>
      <w:pPr>
        <w:spacing w:after="120"/>
        <w:ind w:left="360" w:hanging="259"/>
      </w:pPr>
      <w:r>
        <w:rPr>
          <w:rFonts w:ascii="Times New Roman" w:hAnsi="Times New Roman"/>
          <w:sz w:val="24"/>
        </w:rPr>
        <w:t>• The design generates A &gt; B, A = B, and A &lt; B outputs with 68.75% fewer transistors than static CMOS.</w:t>
      </w:r>
    </w:p>
    <w:p>
      <w:pPr>
        <w:spacing w:after="120"/>
        <w:ind w:left="360" w:hanging="259"/>
      </w:pPr>
      <w:r>
        <w:rPr>
          <w:rFonts w:ascii="Times New Roman" w:hAnsi="Times New Roman"/>
          <w:sz w:val="24"/>
        </w:rPr>
        <w:t>• The comparator achieves 34.18 pW average power and 336 ps equality-output delay at 180 nm.</w:t>
      </w:r>
    </w:p>
    <w:p>
      <w:pPr>
        <w:spacing w:after="120"/>
        <w:ind w:left="360" w:hanging="259"/>
      </w:pPr>
      <w:r>
        <w:rPr>
          <w:rFonts w:ascii="Times New Roman" w:hAnsi="Times New Roman"/>
          <w:sz w:val="24"/>
        </w:rPr>
        <w:t>• A Power-Delay Product of 1.14 × 10⁻⁵ fJ demonstrates high energy efficiency.</w:t>
      </w:r>
    </w:p>
    <w:p>
      <w:pPr>
        <w:spacing w:after="120"/>
        <w:ind w:left="360" w:hanging="259"/>
      </w:pPr>
      <w:r>
        <w:rPr>
          <w:rFonts w:ascii="Times New Roman" w:hAnsi="Times New Roman"/>
          <w:sz w:val="24"/>
        </w:rPr>
        <w:t>• Performance remains scalable across 180 nm, 90 nm, and 45 nm PTM technology nodes.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