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BMO Quarterly Business Review</w:t>
      </w:r>
    </w:p>
    <w:p>
      <w:pPr>
        <w:pStyle w:val="Heading1"/>
      </w:pPr>
      <w:r>
        <w:t>Executive Summary</w:t>
      </w:r>
    </w:p>
    <w:p>
      <w:r>
        <w:t>This document provides a comprehensive review of BMO's performance for Q2 2024. Key highlights include strong revenue growth, improved operational efficiency, and successful digital transformation initiatives.</w:t>
      </w:r>
    </w:p>
    <w:p>
      <w:pPr>
        <w:pStyle w:val="Heading1"/>
      </w:pPr>
      <w:r>
        <w:t>Financial Performance</w:t>
      </w:r>
    </w:p>
    <w:p>
      <w:r>
        <w:t>Revenue for Q2 2024 reached $3.65 billion, representing a 7.4% increase from the previous quarter. Net profit margins improved to 32.9%, driven by cost optimization and increased productivity.</w:t>
      </w:r>
    </w:p>
    <w:p>
      <w:pPr>
        <w:pStyle w:val="Heading2"/>
      </w:pPr>
      <w:r>
        <w:t>Key Performance Indicators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Q1 2024</w:t>
            </w:r>
          </w:p>
        </w:tc>
        <w:tc>
          <w:tcPr>
            <w:tcW w:type="dxa" w:w="2880"/>
          </w:tcPr>
          <w:p>
            <w:r>
              <w:t>Q2 2024</w:t>
            </w:r>
          </w:p>
        </w:tc>
      </w:tr>
      <w:tr>
        <w:tc>
          <w:tcPr>
            <w:tcW w:type="dxa" w:w="2880"/>
          </w:tcPr>
          <w:p>
            <w:r>
              <w:t>Revenue ($ millions)</w:t>
            </w:r>
          </w:p>
        </w:tc>
        <w:tc>
          <w:tcPr>
            <w:tcW w:type="dxa" w:w="2880"/>
          </w:tcPr>
          <w:p>
            <w:r>
              <w:t>3,400</w:t>
            </w:r>
          </w:p>
        </w:tc>
        <w:tc>
          <w:tcPr>
            <w:tcW w:type="dxa" w:w="2880"/>
          </w:tcPr>
          <w:p>
            <w:r>
              <w:t>3,650</w:t>
            </w:r>
          </w:p>
        </w:tc>
      </w:tr>
      <w:tr>
        <w:tc>
          <w:tcPr>
            <w:tcW w:type="dxa" w:w="2880"/>
          </w:tcPr>
          <w:p>
            <w:r>
              <w:t>Profit Margin (%)</w:t>
            </w:r>
          </w:p>
        </w:tc>
        <w:tc>
          <w:tcPr>
            <w:tcW w:type="dxa" w:w="2880"/>
          </w:tcPr>
          <w:p>
            <w:r>
              <w:t>32.4</w:t>
            </w:r>
          </w:p>
        </w:tc>
        <w:tc>
          <w:tcPr>
            <w:tcW w:type="dxa" w:w="2880"/>
          </w:tcPr>
          <w:p>
            <w:r>
              <w:t>32.9</w:t>
            </w:r>
          </w:p>
        </w:tc>
      </w:tr>
      <w:tr>
        <w:tc>
          <w:tcPr>
            <w:tcW w:type="dxa" w:w="2880"/>
          </w:tcPr>
          <w:p>
            <w:r>
              <w:t>Customer Count</w:t>
            </w:r>
          </w:p>
        </w:tc>
        <w:tc>
          <w:tcPr>
            <w:tcW w:type="dxa" w:w="2880"/>
          </w:tcPr>
          <w:p>
            <w:r>
              <w:t>19,200</w:t>
            </w:r>
          </w:p>
        </w:tc>
        <w:tc>
          <w:tcPr>
            <w:tcW w:type="dxa" w:w="2880"/>
          </w:tcPr>
          <w:p>
            <w:r>
              <w:t>20,100</w:t>
            </w:r>
          </w:p>
        </w:tc>
      </w:tr>
      <w:tr>
        <w:tc>
          <w:tcPr>
            <w:tcW w:type="dxa" w:w="2880"/>
          </w:tcPr>
          <w:p>
            <w:r>
              <w:t>Employee Satisfaction</w:t>
            </w:r>
          </w:p>
        </w:tc>
        <w:tc>
          <w:tcPr>
            <w:tcW w:type="dxa" w:w="2880"/>
          </w:tcPr>
          <w:p>
            <w:r>
              <w:t>87%</w:t>
            </w:r>
          </w:p>
        </w:tc>
        <w:tc>
          <w:tcPr>
            <w:tcW w:type="dxa" w:w="2880"/>
          </w:tcPr>
          <w:p>
            <w:r>
              <w:t>89%</w:t>
            </w:r>
          </w:p>
        </w:tc>
      </w:tr>
    </w:tbl>
    <w:p>
      <w:pPr>
        <w:pStyle w:val="Heading1"/>
      </w:pPr>
      <w:r>
        <w:t>Strategic Initiatives</w:t>
      </w:r>
    </w:p>
    <w:p>
      <w:r>
        <w:t>Key strategic initiatives completed this quarter:</w:t>
      </w:r>
    </w:p>
    <w:p>
      <w:pPr>
        <w:pStyle w:val="ListBullet"/>
      </w:pPr>
      <w:r>
        <w:t>Digital banking platform upgrade - 95% completion</w:t>
      </w:r>
    </w:p>
    <w:p>
      <w:pPr>
        <w:pStyle w:val="ListBullet"/>
      </w:pPr>
      <w:r>
        <w:t>AI-powered customer service implementation</w:t>
      </w:r>
    </w:p>
    <w:p>
      <w:pPr>
        <w:pStyle w:val="ListBullet"/>
      </w:pPr>
      <w:r>
        <w:t>Sustainable finance product launch</w:t>
      </w:r>
    </w:p>
    <w:p>
      <w:pPr>
        <w:pStyle w:val="ListBullet"/>
      </w:pPr>
      <w:r>
        <w:t>Cybersecurity infrastructure enhancement</w:t>
      </w:r>
    </w:p>
    <w:p>
      <w:pPr>
        <w:pStyle w:val="ListBullet"/>
      </w:pPr>
      <w:r>
        <w:t>Employee wellness program expansion</w:t>
      </w:r>
    </w:p>
    <w:p>
      <w:pPr>
        <w:pStyle w:val="Heading1"/>
      </w:pPr>
      <w:r>
        <w:t>Future Outlook</w:t>
      </w:r>
    </w:p>
    <w:p>
      <w:r>
        <w:t>Looking ahead to Q3 2024, we anticipate continued growth driven by our digital transformation initiatives and expanded service offerings. We project 6-8% revenue growth and expect to achieve our annual targets.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