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Quarterly Enterprise Risk Report</w:t>
      </w:r>
    </w:p>
    <w:p>
      <w:pPr>
        <w:jc w:val="center"/>
      </w:pPr>
      <w:r>
        <w:rPr>
          <w:i/>
          <w:color w:val="595959"/>
          <w:sz w:val="26"/>
        </w:rPr>
        <w:t>Third quarter, financial year 2026</w:t>
      </w:r>
    </w:p>
    <w:p>
      <w:pPr>
        <w:pStyle w:val="Heading1"/>
      </w:pPr>
      <w:r>
        <w:t>1. Executive summary</w:t>
      </w:r>
    </w:p>
    <w:p>
      <w:pPr>
        <w:jc w:val="both"/>
      </w:pPr>
      <w:r>
        <w:t xml:space="preserve">The overall risk profile is </w:t>
      </w:r>
      <w:r>
        <w:rPr>
          <w:b/>
        </w:rPr>
        <w:t>stable with two items outside appetite</w:t>
      </w:r>
      <w:r>
        <w:t xml:space="preserve">. Operational resilience improved following the recovery exercise, while </w:t>
      </w:r>
      <w:r>
        <w:rPr>
          <w:i/>
          <w:u w:val="single"/>
        </w:rPr>
        <w:t>third-party concentration</w:t>
      </w:r>
      <w:r>
        <w:t xml:space="preserve"> remains the principal concern. The previous rating of </w:t>
      </w:r>
      <w:r>
        <w:rPr>
          <w:strike/>
        </w:rPr>
        <w:t>amber</w:t>
      </w:r>
      <w:r>
        <w:t xml:space="preserve"> has been revised to </w:t>
      </w:r>
      <w:r>
        <w:rPr>
          <w:b/>
          <w:color w:val="FFFFFF"/>
          <w:highlight w:val="red"/>
        </w:rPr>
        <w:t xml:space="preserve"> RED </w:t>
      </w:r>
      <w:r>
        <w:t>. Capital headroom is 1.4x the regulatory minimum (CET1</w:t>
      </w:r>
      <w:r>
        <w:rPr>
          <w:vertAlign w:val="superscript"/>
        </w:rPr>
        <w:t>a</w:t>
      </w:r>
      <w:r>
        <w:t>), and liquidity H</w:t>
      </w:r>
      <w:r>
        <w:rPr>
          <w:vertAlign w:val="subscript"/>
        </w:rPr>
        <w:t>2</w:t>
      </w:r>
      <w:r>
        <w:t xml:space="preserve"> projections are unchanged.</w:t>
      </w:r>
    </w:p>
    <w:p>
      <w:pPr>
        <w:pStyle w:val="Heading1"/>
      </w:pPr>
      <w:r>
        <w:t>2. Risk heat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</w:rPr>
              <w:t>Risk category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</w:rPr>
              <w:t>Inherent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</w:rPr>
              <w:t>Residual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</w:rPr>
              <w:t>Trend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</w:rPr>
              <w:t>Appetite</w:t>
            </w:r>
          </w:p>
        </w:tc>
      </w:tr>
      <w:tr>
        <w:tc>
          <w:tcPr>
            <w:tcW w:type="dxa" w:w="1440"/>
          </w:tcPr>
          <w:p>
            <w:r>
              <w:t>Credit</w:t>
            </w:r>
          </w:p>
        </w:tc>
        <w:tc>
          <w:tcPr>
            <w:tcW w:type="dxa" w:w="1440"/>
          </w:tcPr>
          <w:p>
            <w:r>
              <w:t>Chief Credit Officer</w:t>
            </w:r>
          </w:p>
        </w:tc>
        <w:tc>
          <w:tcPr>
            <w:tcW w:type="dxa" w:w="1440"/>
            <w:shd w:val="clear" w:color="auto" w:fill="ED7D31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440"/>
            <w:shd w:val="clear" w:color="auto" w:fill="FFD966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440"/>
          </w:tcPr>
          <w:p>
            <w:r>
              <w:t>Stable</w:t>
            </w:r>
          </w:p>
        </w:tc>
        <w:tc>
          <w:tcPr>
            <w:tcW w:type="dxa" w:w="1440"/>
            <w:shd w:val="clear" w:color="auto" w:fill="A9D18E"/>
          </w:tcPr>
          <w:p>
            <w:pPr>
              <w:jc w:val="center"/>
            </w:pPr>
            <w:r>
              <w:t>Within</w:t>
            </w:r>
          </w:p>
        </w:tc>
      </w:tr>
      <w:tr>
        <w:tc>
          <w:tcPr>
            <w:tcW w:type="dxa" w:w="1440"/>
          </w:tcPr>
          <w:p>
            <w:r>
              <w:t>Operational</w:t>
            </w:r>
          </w:p>
        </w:tc>
        <w:tc>
          <w:tcPr>
            <w:tcW w:type="dxa" w:w="1440"/>
          </w:tcPr>
          <w:p>
            <w:r>
              <w:t>Chief Operating Officer</w:t>
            </w:r>
          </w:p>
        </w:tc>
        <w:tc>
          <w:tcPr>
            <w:tcW w:type="dxa" w:w="1440"/>
            <w:shd w:val="clear" w:color="auto" w:fill="ED7D31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440"/>
            <w:shd w:val="clear" w:color="auto" w:fill="FFD966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440"/>
          </w:tcPr>
          <w:p>
            <w:r>
              <w:t>Improving</w:t>
            </w:r>
          </w:p>
        </w:tc>
        <w:tc>
          <w:tcPr>
            <w:tcW w:type="dxa" w:w="1440"/>
            <w:shd w:val="clear" w:color="auto" w:fill="A9D18E"/>
          </w:tcPr>
          <w:p>
            <w:pPr>
              <w:jc w:val="center"/>
            </w:pPr>
            <w:r>
              <w:t>Within</w:t>
            </w:r>
          </w:p>
        </w:tc>
      </w:tr>
      <w:tr>
        <w:tc>
          <w:tcPr>
            <w:tcW w:type="dxa" w:w="1440"/>
          </w:tcPr>
          <w:p>
            <w:r>
              <w:t>Third party</w:t>
            </w:r>
          </w:p>
        </w:tc>
        <w:tc>
          <w:tcPr>
            <w:tcW w:type="dxa" w:w="1440"/>
          </w:tcPr>
          <w:p>
            <w:r>
              <w:t>Chief Procurement Officer</w:t>
            </w:r>
          </w:p>
        </w:tc>
        <w:tc>
          <w:tcPr>
            <w:tcW w:type="dxa" w:w="1440"/>
            <w:shd w:val="clear" w:color="auto" w:fill="C00000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440"/>
            <w:shd w:val="clear" w:color="auto" w:fill="ED7D31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440"/>
          </w:tcPr>
          <w:p>
            <w:r>
              <w:t>Worsening</w:t>
            </w:r>
          </w:p>
        </w:tc>
        <w:tc>
          <w:tcPr>
            <w:tcW w:type="dxa" w:w="1440"/>
            <w:shd w:val="clear" w:color="auto" w:fill="C00000"/>
          </w:tcPr>
          <w:p>
            <w:pPr>
              <w:jc w:val="center"/>
            </w:pPr>
            <w:r>
              <w:t>OUTSIDE</w:t>
            </w:r>
          </w:p>
        </w:tc>
      </w:tr>
      <w:tr>
        <w:tc>
          <w:tcPr>
            <w:tcW w:type="dxa" w:w="1440"/>
          </w:tcPr>
          <w:p>
            <w:r>
              <w:t>Cyber</w:t>
            </w:r>
          </w:p>
        </w:tc>
        <w:tc>
          <w:tcPr>
            <w:tcW w:type="dxa" w:w="1440"/>
          </w:tcPr>
          <w:p>
            <w:r>
              <w:t>Chief Information Security Officer</w:t>
            </w:r>
          </w:p>
        </w:tc>
        <w:tc>
          <w:tcPr>
            <w:tcW w:type="dxa" w:w="1440"/>
            <w:shd w:val="clear" w:color="auto" w:fill="C00000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440"/>
            <w:shd w:val="clear" w:color="auto" w:fill="ED7D31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440"/>
          </w:tcPr>
          <w:p>
            <w:r>
              <w:t>Stable</w:t>
            </w:r>
          </w:p>
        </w:tc>
        <w:tc>
          <w:tcPr>
            <w:tcW w:type="dxa" w:w="1440"/>
            <w:shd w:val="clear" w:color="auto" w:fill="C00000"/>
          </w:tcPr>
          <w:p>
            <w:pPr>
              <w:jc w:val="center"/>
            </w:pPr>
            <w:r>
              <w:t>OUTSIDE</w:t>
            </w:r>
          </w:p>
        </w:tc>
      </w:tr>
      <w:tr>
        <w:tc>
          <w:tcPr>
            <w:tcW w:type="dxa" w:w="1440"/>
          </w:tcPr>
          <w:p>
            <w:r>
              <w:t>Conduct</w:t>
            </w:r>
          </w:p>
        </w:tc>
        <w:tc>
          <w:tcPr>
            <w:tcW w:type="dxa" w:w="1440"/>
          </w:tcPr>
          <w:p>
            <w:r>
              <w:t>Chief Compliance Officer</w:t>
            </w:r>
          </w:p>
        </w:tc>
        <w:tc>
          <w:tcPr>
            <w:tcW w:type="dxa" w:w="1440"/>
            <w:shd w:val="clear" w:color="auto" w:fill="FFD966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440"/>
            <w:shd w:val="clear" w:color="auto" w:fill="A9D18E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440"/>
          </w:tcPr>
          <w:p>
            <w:r>
              <w:t>Stable</w:t>
            </w:r>
          </w:p>
        </w:tc>
        <w:tc>
          <w:tcPr>
            <w:tcW w:type="dxa" w:w="1440"/>
            <w:shd w:val="clear" w:color="auto" w:fill="A9D18E"/>
          </w:tcPr>
          <w:p>
            <w:pPr>
              <w:jc w:val="center"/>
            </w:pPr>
            <w:r>
              <w:t>Within</w:t>
            </w:r>
          </w:p>
        </w:tc>
      </w:tr>
    </w:tbl>
    <w:p>
      <w:pPr>
        <w:pStyle w:val="Heading1"/>
      </w:pPr>
      <w:r>
        <w:t>3. Items outside appetite</w:t>
      </w:r>
    </w:p>
    <w:p>
      <w:pPr>
        <w:pStyle w:val="Heading2"/>
      </w:pPr>
      <w:r>
        <w:t>3.1 Third-party concentration</w:t>
      </w:r>
    </w:p>
    <w:p>
      <w:pPr>
        <w:pStyle w:val="ListBullet"/>
      </w:pPr>
      <w:r>
        <w:t>Four critical services depend on a single hosting provider.</w:t>
      </w:r>
    </w:p>
    <w:p>
      <w:pPr>
        <w:pStyle w:val="ListBullet"/>
      </w:pPr>
      <w:r>
        <w:t>Exit plans exist for two of the four; the remainder are due next quarter.</w:t>
      </w:r>
    </w:p>
    <w:p>
      <w:pPr>
        <w:pStyle w:val="ListBullet"/>
      </w:pPr>
      <w:r>
        <w:t>Contractual audit rights have not been exercised in 24 months.</w:t>
      </w:r>
    </w:p>
    <w:p>
      <w:pPr>
        <w:pStyle w:val="Heading2"/>
      </w:pPr>
      <w:r>
        <w:t>3.2 Agreed actions</w:t>
      </w:r>
    </w:p>
    <w:p>
      <w:pPr>
        <w:pStyle w:val="ListNumber"/>
      </w:pPr>
      <w:r>
        <w:t>Complete exit plans for the remaining two services.</w:t>
      </w:r>
    </w:p>
    <w:p>
      <w:pPr>
        <w:pStyle w:val="ListNumber"/>
      </w:pPr>
      <w:r>
        <w:t>Exercise audit rights and report findings to this committee.</w:t>
      </w:r>
    </w:p>
    <w:p>
      <w:pPr>
        <w:pStyle w:val="ListNumber"/>
      </w:pPr>
      <w:r>
        <w:t>Commission an independent concentration study.</w:t>
      </w:r>
    </w:p>
    <w:p>
      <w:pPr>
        <w:pStyle w:val="Heading1"/>
      </w:pPr>
      <w:r>
        <w:t>4. Exposure by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Gross exposure by region and segment (millions)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  <w:vMerge w:val="restart"/>
          </w:tcPr>
          <w:p>
            <w:r>
              <w:t>Domestic (two books)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412.5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1,208.0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1,620.5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pPr>
              <w:jc w:val="right"/>
            </w:pPr>
            <w:r>
              <w:t>88.1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240.9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329.0</w:t>
            </w:r>
          </w:p>
        </w:tc>
      </w:tr>
      <w:tr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57.3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612.4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669.7</w:t>
            </w:r>
          </w:p>
        </w:tc>
      </w:tr>
    </w:tbl>
    <w:p>
      <w:pPr>
        <w:pStyle w:val="Heading1"/>
      </w:pPr>
      <w:r>
        <w:t>5. Trend chart</w:t>
      </w:r>
    </w:p>
    <w:p>
      <w:r>
        <w:drawing>
          <wp:inline xmlns:a="http://schemas.openxmlformats.org/drawingml/2006/main" xmlns:pic="http://schemas.openxmlformats.org/drawingml/2006/picture">
            <wp:extent cx="548640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Placeholder for the residual risk trend.</w:t>
      </w:r>
    </w:p>
    <w:p>
      <w:r>
        <w:br w:type="page"/>
      </w:r>
    </w:p>
    <w:p>
      <w:pPr>
        <w:pStyle w:val="Heading1"/>
      </w:pPr>
      <w:r>
        <w:t>Appendix A. Committee statement</w:t>
      </w:r>
    </w:p>
    <w:p>
      <w:pPr>
        <w:pStyle w:val="IntenseQuote"/>
      </w:pPr>
      <w:r>
        <w:t>The committee notes the position and requires a remediation plan for both items outside appetite to be presented at its next meeting.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Enterprise Risk Management. Not for onward distribution.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Group Risk Committee  |  Quarterly Risk Report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