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Chief Information Security Officer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>
              <w:t>Group Risk Committee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Review cycle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pPr>
        <w:pStyle w:val="Heading1"/>
      </w:pPr>
      <w:r>
        <w:t>1. Purpose and scope</w:t>
      </w:r>
    </w:p>
    <w:p>
      <w:r>
        <w:t xml:space="preserve">This policy applies to all staff, contractors and third parties. Supporting standards are published at </w:t>
      </w:r>
      <w:hyperlink r:id="rId11">
        <w:r>
          <w:rPr>
            <w:color w:val="0563C1"/>
            <w:u w:val="single"/>
          </w:rPr>
          <w:t>the internal policy library</w:t>
        </w:r>
      </w:hyperlink>
      <w:r>
        <w:t xml:space="preserve"> and must be read alongside it.</w:t>
      </w:r>
    </w:p>
    <w:p>
      <w:pPr>
        <w:pStyle w:val="Heading1"/>
      </w:pPr>
      <w:r>
        <w:t>2. Control requirements</w:t>
      </w:r>
    </w:p>
    <w:p>
      <w:pPr>
        <w:pStyle w:val="Heading2"/>
      </w:pPr>
      <w:r>
        <w:t>2.1 Access control</w:t>
      </w:r>
    </w:p>
    <w:p>
      <w:pPr>
        <w:pStyle w:val="Heading3"/>
      </w:pPr>
      <w:r>
        <w:t>2.1.1 Privileged access</w:t>
      </w:r>
    </w:p>
    <w:p>
      <w:pPr>
        <w:pStyle w:val="Heading4"/>
      </w:pPr>
      <w:r>
        <w:t>Break-glass accounts</w:t>
      </w:r>
    </w:p>
    <w:p>
      <w:r>
        <w:t>Break-glass accounts are sealed, monitored and reviewed after every use.</w:t>
      </w:r>
    </w:p>
    <w:p>
      <w:pPr>
        <w:pStyle w:val="Heading2"/>
      </w:pPr>
      <w:r>
        <w:t>2.2 Multi-level obligations</w:t>
      </w:r>
    </w:p>
    <w:p>
      <w:pPr>
        <w:pStyle w:val="ListNumber"/>
      </w:pPr>
      <w:r>
        <w:t>Identity</w:t>
      </w:r>
    </w:p>
    <w:p>
      <w:pPr>
        <w:pStyle w:val="ListNumber2"/>
      </w:pPr>
      <w:r>
        <w:t>Joiners are provisioned from the system of record only.</w:t>
      </w:r>
    </w:p>
    <w:p>
      <w:pPr>
        <w:pStyle w:val="ListNumber2"/>
      </w:pPr>
      <w:r>
        <w:t>Leavers are disabled within one working day.</w:t>
      </w:r>
    </w:p>
    <w:p>
      <w:pPr>
        <w:pStyle w:val="ListNumber3"/>
      </w:pPr>
      <w:r>
        <w:t>Privileged leavers within four hours.</w:t>
      </w:r>
    </w:p>
    <w:p>
      <w:pPr>
        <w:pStyle w:val="ListNumber"/>
      </w:pPr>
      <w:r>
        <w:t>Cryptography</w:t>
      </w:r>
    </w:p>
    <w:p>
      <w:pPr>
        <w:pStyle w:val="ListBullet2"/>
      </w:pPr>
      <w:r>
        <w:t>Approved algorithms only.</w:t>
      </w:r>
    </w:p>
    <w:p>
      <w:pPr>
        <w:pStyle w:val="ListBullet3"/>
      </w:pPr>
      <w:r>
        <w:t>Key lengths reviewed annually.</w:t>
      </w:r>
    </w:p>
    <w:p>
      <w:pPr>
        <w:pStyle w:val="ListNumber"/>
      </w:pPr>
      <w:r>
        <w:t>Logging</w:t>
      </w:r>
    </w:p>
    <w:p>
      <w:pPr>
        <w:pStyle w:val="Heading1"/>
      </w:pPr>
      <w:r>
        <w:t>3. Responsibilities (nested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First line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b/>
              </w:rPr>
              <w:t>Second line</w:t>
            </w:r>
          </w:p>
        </w:tc>
      </w:tr>
      <w:tr>
        <w:tc>
          <w:tcPr>
            <w:tcW w:type="dxa" w:w="4320"/>
          </w:tcPr>
          <w:p>
            <w:r>
              <w:t>Operate the controls and evidence them.</w:t>
            </w:r>
          </w:p>
        </w:tc>
        <w:tc>
          <w:tcPr>
            <w:tcW w:type="dxa" w:w="4320"/>
          </w:tcPr>
          <w:p>
            <w:r>
              <w:t>Oversee and challenge. Testing schedule: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shd w:val="clear" w:color="auto" w:fill="FFF2CC"/>
                </w:tcPr>
                <w:p>
                  <w:r>
                    <w:t>Control</w:t>
                  </w:r>
                </w:p>
              </w:tc>
              <w:tc>
                <w:tcPr>
                  <w:tcW w:type="dxa" w:w="2160"/>
                  <w:shd w:val="clear" w:color="auto" w:fill="FFF2CC"/>
                </w:tcPr>
                <w:p>
                  <w:r>
                    <w:t>Frequency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Access recertification</w:t>
                  </w:r>
                </w:p>
              </w:tc>
              <w:tc>
                <w:tcPr>
                  <w:tcW w:type="dxa" w:w="2160"/>
                </w:tcPr>
                <w:p>
                  <w:r>
                    <w:t>Quarterly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Log review</w:t>
                  </w:r>
                </w:p>
              </w:tc>
              <w:tc>
                <w:tcPr>
                  <w:tcW w:type="dxa" w:w="2160"/>
                </w:tcPr>
                <w:p>
                  <w:r>
                    <w:t>Monthly</w:t>
                  </w:r>
                </w:p>
              </w:tc>
            </w:tr>
          </w:tbl>
          <w:p/>
        </w:tc>
      </w:tr>
    </w:tbl>
    <w:p>
      <w:pPr>
        <w:pStyle w:val="Heading1"/>
      </w:pPr>
      <w:r>
        <w:t>4. Typography stress</w:t>
      </w:r>
    </w:p>
    <w:p>
      <w:r>
        <w:rPr>
          <w:rFonts w:ascii="Georgia" w:hAnsi="Georgia"/>
          <w:sz w:val="28"/>
        </w:rPr>
        <w:t xml:space="preserve">Georgia at 14 point.  </w:t>
      </w:r>
      <w:r>
        <w:rPr>
          <w:rFonts w:ascii="Courier New" w:hAnsi="Courier New"/>
          <w:sz w:val="20"/>
        </w:rPr>
        <w:t xml:space="preserve">Courier New at 10 point.  </w:t>
      </w:r>
      <w:r>
        <w:rPr>
          <w:rFonts w:ascii="Arial" w:hAnsi="Arial"/>
          <w:sz w:val="24"/>
        </w:rPr>
        <w:t xml:space="preserve">Arial at 12 point.  </w:t>
      </w:r>
      <w:r>
        <w:rPr>
          <w:rFonts w:ascii="Times New Roman" w:hAnsi="Times New Roman"/>
          <w:sz w:val="32"/>
        </w:rPr>
        <w:t xml:space="preserve">Times New Roman at 16 point.  </w:t>
      </w:r>
    </w:p>
    <w:p>
      <w:r>
        <w:rPr>
          <w:b/>
          <w:color w:val="C00000"/>
        </w:rPr>
        <w:t xml:space="preserve">prohibited </w:t>
      </w:r>
      <w:r>
        <w:rPr>
          <w:b/>
          <w:color w:val="BF8F00"/>
        </w:rPr>
        <w:t xml:space="preserve">restricted </w:t>
      </w:r>
      <w:r>
        <w:rPr>
          <w:b/>
          <w:color w:val="37863D"/>
        </w:rPr>
        <w:t>permitted</w:t>
      </w:r>
    </w:p>
    <w:p>
      <w:r>
        <w:rPr>
          <w:highlight w:val="yellow"/>
        </w:rPr>
        <w:t>Highlighted obligation: exceptions require written approval.</w:t>
      </w:r>
    </w:p>
    <w:p>
      <w:pPr>
        <w:jc w:val="right"/>
      </w:pPr>
      <w:r>
        <w:t>Right-aligned sign-off block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document. Printed copies are uncontrolled.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Information Security Policy  |  Version 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licies.example.invalid/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