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0"/>
      </w:pPr>
      <w:r>
        <w:t xml:space="preserve"/>
      </w:r>
    </w:p>
    <w:p>
      <w:pPr>
        <w:spacing w:before="200" w:after="120"/>
        <w:jc w:val="center"/>
      </w:pPr>
      <w:r>
        <w:rPr>
          <w:rFonts w:ascii="Arial" w:cs="Arial" w:eastAsia="Arial" w:hAnsi="Arial"/>
          <w:b/>
          <w:bCs/>
          <w:color w:val="1F3864"/>
          <w:sz w:val="60"/>
          <w:szCs w:val="60"/>
        </w:rPr>
        <w:t xml:space="preserve">IRIS CCR MCP Tool Suite</w:t>
      </w:r>
    </w:p>
    <w:p>
      <w:pPr>
        <w:spacing w:before="80" w:after="80"/>
        <w:jc w:val="center"/>
      </w:pPr>
      <w:r>
        <w:rPr>
          <w:rFonts w:ascii="Arial" w:cs="Arial" w:eastAsia="Arial" w:hAnsi="Arial"/>
          <w:color w:val="2E75B6"/>
          <w:sz w:val="36"/>
          <w:szCs w:val="36"/>
        </w:rPr>
        <w:t xml:space="preserve">Claude Code Build Requirements</w:t>
      </w:r>
    </w:p>
    <w:p>
      <w:pPr>
        <w:pBdr>
          <w:bottom w:val="single" w:color="2E75B6" w:sz="8" w:space="1"/>
        </w:pBdr>
        <w:spacing w:before="60" w:after="280"/>
        <w:jc w:val="center"/>
      </w:pPr>
      <w:r>
        <w:rPr>
          <w:rFonts w:ascii="Arial" w:cs="Arial" w:eastAsia="Arial" w:hAnsi="Arial"/>
          <w:i/>
          <w:iCs/>
          <w:color w:val="555555"/>
          <w:sz w:val="22"/>
          <w:szCs w:val="22"/>
        </w:rPr>
        <w:t xml:space="preserve">SAHJA MCP Server v2.9.8  ·  LangGraph ReAct Agent  ·  FastAPI Backend</w:t>
      </w:r>
    </w:p>
    <w:p>
      <w:pPr>
        <w:spacing w:before="200" w:after="0"/>
      </w:pPr>
      <w:r>
        <w:t xml:space="preserve"/>
      </w:r>
    </w:p>
    <w:p>
      <w:pPr>
        <w:spacing w:before="40" w:after="40"/>
      </w:pPr>
      <w:r>
        <w:rPr>
          <w:rFonts w:ascii="Arial" w:cs="Arial" w:eastAsia="Arial" w:hAnsi="Arial"/>
          <w:b/>
          <w:bCs/>
          <w:color w:val="1F3864"/>
          <w:sz w:val="22"/>
          <w:szCs w:val="22"/>
        </w:rPr>
        <w:t xml:space="preserve">Document Version: </w:t>
      </w:r>
      <w:r>
        <w:rPr>
          <w:rFonts w:ascii="Arial" w:cs="Arial" w:eastAsia="Arial" w:hAnsi="Arial"/>
          <w:sz w:val="22"/>
          <w:szCs w:val="22"/>
        </w:rPr>
        <w:t xml:space="preserve">1.0</w:t>
      </w:r>
    </w:p>
    <w:p>
      <w:pPr>
        <w:spacing w:before="40" w:after="40"/>
      </w:pPr>
      <w:r>
        <w:rPr>
          <w:rFonts w:ascii="Arial" w:cs="Arial" w:eastAsia="Arial" w:hAnsi="Arial"/>
          <w:b/>
          <w:bCs/>
          <w:color w:val="1F3864"/>
          <w:sz w:val="22"/>
          <w:szCs w:val="22"/>
        </w:rPr>
        <w:t xml:space="preserve">Date: </w:t>
      </w:r>
      <w:r>
        <w:rPr>
          <w:rFonts w:ascii="Arial" w:cs="Arial" w:eastAsia="Arial" w:hAnsi="Arial"/>
          <w:sz w:val="22"/>
          <w:szCs w:val="22"/>
        </w:rPr>
        <w:t xml:space="preserve">2026-03-30</w:t>
      </w:r>
    </w:p>
    <w:p>
      <w:pPr>
        <w:spacing w:before="40" w:after="40"/>
      </w:pPr>
      <w:r>
        <w:rPr>
          <w:rFonts w:ascii="Arial" w:cs="Arial" w:eastAsia="Arial" w:hAnsi="Arial"/>
          <w:b/>
          <w:bCs/>
          <w:color w:val="1F3864"/>
          <w:sz w:val="22"/>
          <w:szCs w:val="22"/>
        </w:rPr>
        <w:t xml:space="preserve">Status: </w:t>
      </w:r>
      <w:r>
        <w:rPr>
          <w:rFonts w:ascii="Arial" w:cs="Arial" w:eastAsia="Arial" w:hAnsi="Arial"/>
          <w:sz w:val="22"/>
          <w:szCs w:val="22"/>
        </w:rPr>
        <w:t xml:space="preserve">Ready for Implementation</w:t>
      </w:r>
    </w:p>
    <w:p>
      <w:pPr>
        <w:spacing w:before="40" w:after="40"/>
      </w:pPr>
      <w:r>
        <w:rPr>
          <w:rFonts w:ascii="Arial" w:cs="Arial" w:eastAsia="Arial" w:hAnsi="Arial"/>
          <w:b/>
          <w:bCs/>
          <w:color w:val="1F3864"/>
          <w:sz w:val="22"/>
          <w:szCs w:val="22"/>
        </w:rPr>
        <w:t xml:space="preserve">Prepared for: </w:t>
      </w:r>
      <w:r>
        <w:rPr>
          <w:rFonts w:ascii="Arial" w:cs="Arial" w:eastAsia="Arial" w:hAnsi="Arial"/>
          <w:sz w:val="22"/>
          <w:szCs w:val="22"/>
        </w:rPr>
        <w:t xml:space="preserve">Claude Code Orchestrator</w:t>
      </w:r>
    </w:p>
    <w:p>
      <w:pPr>
        <w:spacing w:before="40" w:after="40"/>
      </w:pPr>
      <w:r>
        <w:rPr>
          <w:rFonts w:ascii="Arial" w:cs="Arial" w:eastAsia="Arial" w:hAnsi="Arial"/>
          <w:b/>
          <w:bCs/>
          <w:color w:val="1F3864"/>
          <w:sz w:val="22"/>
          <w:szCs w:val="22"/>
        </w:rPr>
        <w:t xml:space="preserve">Scope: </w:t>
      </w:r>
      <w:r>
        <w:rPr>
          <w:rFonts w:ascii="Arial" w:cs="Arial" w:eastAsia="Arial" w:hAnsi="Arial"/>
          <w:sz w:val="22"/>
          <w:szCs w:val="22"/>
        </w:rPr>
        <w:t xml:space="preserve">IRIS CCR Tool Suite — 9 tools + test CSV + literature file</w:t>
      </w:r>
    </w:p>
    <w:p>
      <w:pPr>
        <w:spacing w:before="40" w:after="40"/>
      </w:pPr>
      <w:r>
        <w:rPr>
          <w:rFonts w:ascii="Arial" w:cs="Arial" w:eastAsia="Arial" w:hAnsi="Arial"/>
          <w:b/>
          <w:bCs/>
          <w:color w:val="1F3864"/>
          <w:sz w:val="22"/>
          <w:szCs w:val="22"/>
        </w:rPr>
        <w:t xml:space="preserve">Repository: </w:t>
      </w:r>
      <w:r>
        <w:rPr>
          <w:rFonts w:ascii="Arial" w:cs="Arial" w:eastAsia="Arial" w:hAnsi="Arial"/>
          <w:sz w:val="22"/>
          <w:szCs w:val="22"/>
        </w:rPr>
        <w:t xml:space="preserve">github.com/ajsinha/sajhamcpserver</w:t>
      </w:r>
    </w:p>
    <w:p>
      <w:pPr>
        <w:spacing w:before="20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40"/>
              <w:left w:type="dxa" w:w="200"/>
              <w:bottom w:type="dxa" w:w="140"/>
              <w:right w:type="dxa" w:w="200"/>
            </w:tcMar>
          </w:tcPr>
          <w:p>
            <w:r>
              <w:rPr>
                <w:rFonts w:ascii="Arial" w:cs="Arial" w:eastAsia="Arial" w:hAnsi="Arial"/>
                <w:b/>
                <w:bCs/>
                <w:color w:val="7F6000"/>
                <w:sz w:val="22"/>
                <w:szCs w:val="22"/>
              </w:rPr>
              <w:t xml:space="preserve">⚠  Context:  </w:t>
            </w:r>
            <w:r>
              <w:rPr>
                <w:rFonts w:ascii="Arial" w:cs="Arial" w:eastAsia="Arial" w:hAnsi="Arial"/>
                <w:color w:val="7F6000"/>
                <w:sz w:val="22"/>
                <w:szCs w:val="22"/>
              </w:rPr>
              <w:t xml:space="preserve">This document is the single source of truth for building the IRIS CCR tool suite into the SAJHA MCP Server. Read it fully before writing any code.</w:t>
            </w:r>
          </w:p>
        </w:tc>
      </w:tr>
    </w:tbl>
    <w:p>
      <w:r>
        <w:br w:type="page"/>
      </w:r>
    </w:p>
    <w:p>
      <w:pPr>
        <w:pStyle w:val="Heading1"/>
        <w:spacing w:before="360" w:after="120"/>
      </w:pPr>
      <w:r>
        <w:rPr>
          <w:rFonts w:ascii="Arial" w:cs="Arial" w:eastAsia="Arial" w:hAnsi="Arial"/>
          <w:b/>
          <w:bCs/>
          <w:color w:val="1F3864"/>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280"/>
              <w:bottom w:type="dxa" w:w="200"/>
              <w:right w:type="dxa" w:w="280"/>
            </w:tcMar>
          </w:tcPr>
          <w:p>
            <w:r>
              <w:rPr>
                <w:rFonts w:ascii="Arial" w:cs="Arial" w:eastAsia="Arial" w:hAnsi="Arial"/>
                <w:b/>
                <w:bCs/>
                <w:color w:val="8899BB"/>
                <w:sz w:val="56"/>
                <w:szCs w:val="56"/>
              </w:rPr>
              <w:t xml:space="preserve">01</w:t>
            </w:r>
            <w:r>
              <w:rPr>
                <w:rFonts w:ascii="Arial" w:cs="Arial" w:eastAsia="Arial" w:hAnsi="Arial"/>
                <w:b/>
                <w:bCs/>
                <w:color w:val="FFFFFF"/>
                <w:sz w:val="32"/>
                <w:szCs w:val="32"/>
              </w:rPr>
              <w:t xml:space="preserve">   System Context</w:t>
            </w:r>
          </w:p>
          <w:p>
            <w:r>
              <w:rPr>
                <w:rFonts w:ascii="Arial" w:cs="Arial" w:eastAsia="Arial" w:hAnsi="Arial"/>
                <w:i/>
                <w:iCs/>
                <w:color w:val="AACFEE"/>
                <w:sz w:val="20"/>
                <w:szCs w:val="20"/>
              </w:rPr>
              <w:t xml:space="preserve">What SAJHA is, how it works, and where IRIS tools fit</w:t>
            </w:r>
          </w:p>
        </w:tc>
      </w:tr>
    </w:tbl>
    <w:p>
      <w:pPr>
        <w:spacing w:before="240" w:after="0"/>
      </w:pPr>
      <w:r>
        <w:t xml:space="preserve"/>
      </w:r>
    </w:p>
    <w:p>
      <w:pPr>
        <w:pStyle w:val="Heading2"/>
        <w:spacing w:before="280" w:after="100"/>
      </w:pPr>
      <w:r>
        <w:rPr>
          <w:rFonts w:ascii="Arial" w:cs="Arial" w:eastAsia="Arial" w:hAnsi="Arial"/>
          <w:b/>
          <w:bCs/>
          <w:color w:val="2E75B6"/>
          <w:sz w:val="26"/>
          <w:szCs w:val="26"/>
        </w:rPr>
        <w:t xml:space="preserve">1.1  SAJHA MCP Server</w:t>
      </w:r>
    </w:p>
    <w:p>
      <w:pPr>
        <w:spacing w:before="60" w:after="80"/>
      </w:pPr>
      <w:r>
        <w:rPr>
          <w:rFonts w:ascii="Arial" w:cs="Arial" w:eastAsia="Arial" w:hAnsi="Arial"/>
          <w:sz w:val="22"/>
          <w:szCs w:val="22"/>
        </w:rPr>
        <w:t xml:space="preserve">SAJHA is a production-grade Python/Flask MCP server running on port 3002. All tools extend BaseMCPTool and are registered via JSON config files. The server hot-reloads — drop in a new Python file and JSON config and the tool is live with no restart.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rPr>
          <w:tblHeader/>
        </w:trPr>
        <w:tc>
          <w:tcPr>
            <w:tcW w:type="dxa" w:w="28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Component</w:t>
            </w:r>
          </w:p>
        </w:tc>
        <w:tc>
          <w:tcPr>
            <w:tcW w:type="dxa" w:w="32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Path</w:t>
            </w:r>
          </w:p>
        </w:tc>
        <w:tc>
          <w:tcPr>
            <w:tcW w:type="dxa" w:w="336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Notes</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Base tool class</w:t>
            </w:r>
          </w:p>
        </w:tc>
        <w:tc>
          <w:tcPr>
            <w:tcW w:type="dxa" w:w="3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sajha/tools/base_mcp_tool.py</w:t>
            </w:r>
          </w:p>
        </w:tc>
        <w:tc>
          <w:tcPr>
            <w:tcW w:type="dxa" w:w="3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Extend for all new tools</w:t>
            </w:r>
          </w:p>
        </w:tc>
      </w:tr>
      <w:tr>
        <w:tc>
          <w:tcPr>
            <w:tcW w:type="dxa" w:w="2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Tool implementations</w:t>
            </w:r>
          </w:p>
        </w:tc>
        <w:tc>
          <w:tcPr>
            <w:tcW w:type="dxa" w:w="32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sajha/tools/impl/iris_ccr_tools.py</w:t>
            </w:r>
          </w:p>
        </w:tc>
        <w:tc>
          <w:tcPr>
            <w:tcW w:type="dxa" w:w="33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All 9 IRIS tools in one file</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Tool configs</w:t>
            </w:r>
          </w:p>
        </w:tc>
        <w:tc>
          <w:tcPr>
            <w:tcW w:type="dxa" w:w="3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config/tools/iris_*.json</w:t>
            </w:r>
          </w:p>
        </w:tc>
        <w:tc>
          <w:tcPr>
            <w:tcW w:type="dxa" w:w="3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One JSON file per tool</w:t>
            </w:r>
          </w:p>
        </w:tc>
      </w:tr>
      <w:tr>
        <w:tc>
          <w:tcPr>
            <w:tcW w:type="dxa" w:w="2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Literature files</w:t>
            </w:r>
          </w:p>
        </w:tc>
        <w:tc>
          <w:tcPr>
            <w:tcW w:type="dxa" w:w="32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config/literature/iris_*.txt</w:t>
            </w:r>
          </w:p>
        </w:tc>
        <w:tc>
          <w:tcPr>
            <w:tcW w:type="dxa" w:w="33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Global + per-tool</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Application properties</w:t>
            </w:r>
          </w:p>
        </w:tc>
        <w:tc>
          <w:tcPr>
            <w:tcW w:type="dxa" w:w="32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config/application.properties</w:t>
            </w:r>
          </w:p>
        </w:tc>
        <w:tc>
          <w:tcPr>
            <w:tcW w:type="dxa" w:w="3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Data path config</w:t>
            </w:r>
          </w:p>
        </w:tc>
      </w:tr>
      <w:tr>
        <w:tc>
          <w:tcPr>
            <w:tcW w:type="dxa" w:w="2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Test CSV data</w:t>
            </w:r>
          </w:p>
        </w:tc>
        <w:tc>
          <w:tcPr>
            <w:tcW w:type="dxa" w:w="32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CCR_data/iris/</w:t>
            </w:r>
          </w:p>
        </w:tc>
        <w:tc>
          <w:tcPr>
            <w:tcW w:type="dxa" w:w="33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iris_combined.csv + raw files</w:t>
            </w:r>
          </w:p>
        </w:tc>
      </w:tr>
    </w:tbl>
    <w:p>
      <w:pPr>
        <w:spacing w:before="200" w:after="0"/>
      </w:pPr>
      <w:r>
        <w:t xml:space="preserve"/>
      </w:r>
    </w:p>
    <w:p>
      <w:pPr>
        <w:pStyle w:val="Heading2"/>
        <w:spacing w:before="280" w:after="100"/>
      </w:pPr>
      <w:r>
        <w:rPr>
          <w:rFonts w:ascii="Arial" w:cs="Arial" w:eastAsia="Arial" w:hAnsi="Arial"/>
          <w:b/>
          <w:bCs/>
          <w:color w:val="2E75B6"/>
          <w:sz w:val="26"/>
          <w:szCs w:val="26"/>
        </w:rPr>
        <w:t xml:space="preserve">1.2  Transport and Authentication</w:t>
      </w:r>
    </w:p>
    <w:p>
      <w:pPr>
        <w:spacing w:before="60" w:after="80"/>
      </w:pPr>
      <w:r>
        <w:rPr>
          <w:rFonts w:ascii="Arial" w:cs="Arial" w:eastAsia="Arial" w:hAnsi="Arial"/>
          <w:sz w:val="22"/>
          <w:szCs w:val="22"/>
        </w:rPr>
        <w:t xml:space="preserve">All tool calls use HTTP REST. The agent authenticates via Bearer token obtained from /api/auth/login. Tokens are cached and refreshed on 401.</w:t>
      </w:r>
    </w:p>
    <w:p>
      <w:pPr>
        <w:spacing w:before="80" w:after="0"/>
      </w:pPr>
      <w:r>
        <w:t xml:space="preserve"/>
      </w:r>
    </w:p>
    <w:p>
      <w:pPr>
        <w:shd w:fill="F0F0F0" w:val="clear"/>
        <w:spacing w:before="40" w:after="40"/>
        <w:ind w:left="360"/>
      </w:pPr>
      <w:r>
        <w:rPr>
          <w:rFonts w:ascii="Courier New" w:cs="Courier New" w:eastAsia="Courier New" w:hAnsi="Courier New"/>
          <w:color w:val="333333"/>
          <w:sz w:val="19"/>
          <w:szCs w:val="19"/>
        </w:rPr>
        <w:t xml:space="preserve">POST http://localhost:3002/api/auth/login</w:t>
      </w:r>
    </w:p>
    <w:p>
      <w:pPr>
        <w:shd w:fill="F0F0F0" w:val="clear"/>
        <w:spacing w:before="40" w:after="40"/>
        <w:ind w:left="360"/>
      </w:pPr>
      <w:r>
        <w:rPr>
          <w:rFonts w:ascii="Courier New" w:cs="Courier New" w:eastAsia="Courier New" w:hAnsi="Courier New"/>
          <w:color w:val="333333"/>
          <w:sz w:val="19"/>
          <w:szCs w:val="19"/>
        </w:rPr>
        <w:t xml:space="preserve">Body: { "user_id": "risk_agent", "password": "&lt;password&gt;" }</w:t>
      </w:r>
    </w:p>
    <w:p>
      <w:pPr>
        <w:shd w:fill="F0F0F0" w:val="clear"/>
        <w:spacing w:before="40" w:after="40"/>
        <w:ind w:left="360"/>
      </w:pPr>
      <w:r>
        <w:rPr>
          <w:rFonts w:ascii="Courier New" w:cs="Courier New" w:eastAsia="Courier New" w:hAnsi="Courier New"/>
          <w:color w:val="333333"/>
          <w:sz w:val="19"/>
          <w:szCs w:val="19"/>
        </w:rPr>
        <w:t xml:space="preserve">Tool call: POST http://localhost:3002/api/tools/execute</w:t>
      </w:r>
    </w:p>
    <w:p>
      <w:pPr>
        <w:shd w:fill="F0F0F0" w:val="clear"/>
        <w:spacing w:before="40" w:after="40"/>
        <w:ind w:left="360"/>
      </w:pPr>
      <w:r>
        <w:rPr>
          <w:rFonts w:ascii="Courier New" w:cs="Courier New" w:eastAsia="Courier New" w:hAnsi="Courier New"/>
          <w:color w:val="333333"/>
          <w:sz w:val="19"/>
          <w:szCs w:val="19"/>
        </w:rPr>
        <w:t xml:space="preserve">Body: { "tool_name": "iris_list_dates", "parameters": {} }</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40"/>
              <w:left w:type="dxa" w:w="200"/>
              <w:bottom w:type="dxa" w:w="140"/>
              <w:right w:type="dxa" w:w="200"/>
            </w:tcMar>
          </w:tcPr>
          <w:p>
            <w:r>
              <w:rPr>
                <w:rFonts w:ascii="Arial" w:cs="Arial" w:eastAsia="Arial" w:hAnsi="Arial"/>
                <w:b/>
                <w:bCs/>
                <w:color w:val="1F3864"/>
                <w:sz w:val="22"/>
                <w:szCs w:val="22"/>
              </w:rPr>
              <w:t xml:space="preserve">RBAC:  </w:t>
            </w:r>
            <w:r>
              <w:rPr>
                <w:rFonts w:ascii="Arial" w:cs="Arial" w:eastAsia="Arial" w:hAnsi="Arial"/>
                <w:color w:val="1F3864"/>
                <w:sz w:val="22"/>
                <w:szCs w:val="22"/>
              </w:rPr>
              <w:t xml:space="preserve">The risk_agent user must have all 9 IRIS tool names added to its tools[] list in config/users.json.</w:t>
            </w:r>
          </w:p>
        </w:tc>
      </w:tr>
    </w:tbl>
    <w:p>
      <w:pPr>
        <w:spacing w:before="200" w:after="0"/>
      </w:pPr>
      <w:r>
        <w:t xml:space="preserve"/>
      </w:r>
    </w:p>
    <w:p>
      <w:pPr>
        <w:pStyle w:val="Heading2"/>
        <w:spacing w:before="280" w:after="100"/>
      </w:pPr>
      <w:r>
        <w:rPr>
          <w:rFonts w:ascii="Arial" w:cs="Arial" w:eastAsia="Arial" w:hAnsi="Arial"/>
          <w:b/>
          <w:bCs/>
          <w:color w:val="2E75B6"/>
          <w:sz w:val="26"/>
          <w:szCs w:val="26"/>
        </w:rPr>
        <w:t xml:space="preserve">1.3  LangGraph ReAct Agent Stack</w:t>
      </w:r>
    </w:p>
    <w:p>
      <w:pPr>
        <w:spacing w:before="60" w:after="80"/>
      </w:pPr>
      <w:r>
        <w:rPr>
          <w:rFonts w:ascii="Arial" w:cs="Arial" w:eastAsia="Arial" w:hAnsi="Arial"/>
          <w:sz w:val="22"/>
          <w:szCs w:val="22"/>
        </w:rPr>
        <w:t xml:space="preserve">The agent uses LangGraph's create_react_agent with a FastAPI SSE backend. SAJHA is the data layer — all tool calls route through it. The HTML frontend is unchanged.</w:t>
      </w:r>
    </w:p>
    <w:p>
      <w:pPr>
        <w:spacing w:before="80" w:after="0"/>
      </w:pPr>
      <w:r>
        <w:t xml:space="preserve"/>
      </w:r>
    </w:p>
    <w:p>
      <w:pPr>
        <w:shd w:fill="F0F0F0" w:val="clear"/>
        <w:spacing w:before="40" w:after="40"/>
        <w:ind w:left="360"/>
      </w:pPr>
      <w:r>
        <w:rPr>
          <w:rFonts w:ascii="Courier New" w:cs="Courier New" w:eastAsia="Courier New" w:hAnsi="Courier New"/>
          <w:color w:val="333333"/>
          <w:sz w:val="19"/>
          <w:szCs w:val="19"/>
        </w:rPr>
        <w:t xml:space="preserve">HTML Frontend  →  FastAPI (agent_server.py)  →  LangGraph create_react_agent</w:t>
      </w:r>
    </w:p>
    <w:p>
      <w:pPr>
        <w:shd w:fill="F0F0F0" w:val="clear"/>
        <w:spacing w:before="40" w:after="40"/>
        <w:ind w:left="360"/>
      </w:pPr>
      <w:r>
        <w:rPr>
          <w:rFonts w:ascii="Courier New" w:cs="Courier New" w:eastAsia="Courier New" w:hAnsi="Courier New"/>
          <w:color w:val="333333"/>
          <w:sz w:val="19"/>
          <w:szCs w:val="19"/>
        </w:rPr>
        <w:t xml:space="preserve">                                              →  @tool wrappers calling SAJHA</w:t>
      </w:r>
    </w:p>
    <w:p>
      <w:pPr>
        <w:shd w:fill="F0F0F0" w:val="clear"/>
        <w:spacing w:before="40" w:after="40"/>
        <w:ind w:left="360"/>
      </w:pPr>
      <w:r>
        <w:rPr>
          <w:rFonts w:ascii="Courier New" w:cs="Courier New" w:eastAsia="Courier New" w:hAnsi="Courier New"/>
          <w:color w:val="333333"/>
          <w:sz w:val="19"/>
          <w:szCs w:val="19"/>
        </w:rPr>
        <w:t xml:space="preserve">                                              →  SAJHA /api/tools/execute</w:t>
      </w:r>
    </w:p>
    <w:p>
      <w:pPr>
        <w:shd w:fill="F0F0F0" w:val="clear"/>
        <w:spacing w:before="40" w:after="40"/>
        <w:ind w:left="360"/>
      </w:pPr>
      <w:r>
        <w:rPr>
          <w:rFonts w:ascii="Courier New" w:cs="Courier New" w:eastAsia="Courier New" w:hAnsi="Courier New"/>
          <w:color w:val="333333"/>
          <w:sz w:val="19"/>
          <w:szCs w:val="19"/>
        </w:rPr>
        <w:t xml:space="preserve">                                              →  iris_ccr_tools.py (this build)</w:t>
      </w:r>
    </w:p>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280"/>
              <w:bottom w:type="dxa" w:w="200"/>
              <w:right w:type="dxa" w:w="280"/>
            </w:tcMar>
          </w:tcPr>
          <w:p>
            <w:r>
              <w:rPr>
                <w:rFonts w:ascii="Arial" w:cs="Arial" w:eastAsia="Arial" w:hAnsi="Arial"/>
                <w:b/>
                <w:bCs/>
                <w:color w:val="8899BB"/>
                <w:sz w:val="56"/>
                <w:szCs w:val="56"/>
              </w:rPr>
              <w:t xml:space="preserve">02</w:t>
            </w:r>
            <w:r>
              <w:rPr>
                <w:rFonts w:ascii="Arial" w:cs="Arial" w:eastAsia="Arial" w:hAnsi="Arial"/>
                <w:b/>
                <w:bCs/>
                <w:color w:val="FFFFFF"/>
                <w:sz w:val="32"/>
                <w:szCs w:val="32"/>
              </w:rPr>
              <w:t xml:space="preserve">   Data Architecture</w:t>
            </w:r>
          </w:p>
          <w:p>
            <w:r>
              <w:rPr>
                <w:rFonts w:ascii="Arial" w:cs="Arial" w:eastAsia="Arial" w:hAnsi="Arial"/>
                <w:i/>
                <w:iCs/>
                <w:color w:val="AACFEE"/>
                <w:sz w:val="20"/>
                <w:szCs w:val="20"/>
              </w:rPr>
              <w:t xml:space="preserve">Source data, schema, and critical non-aggregation rule</w:t>
            </w:r>
          </w:p>
        </w:tc>
      </w:tr>
    </w:tbl>
    <w:p>
      <w:pPr>
        <w:spacing w:before="240" w:after="0"/>
      </w:pPr>
      <w:r>
        <w:t xml:space="preserve"/>
      </w:r>
    </w:p>
    <w:p>
      <w:pPr>
        <w:pStyle w:val="Heading2"/>
        <w:spacing w:before="280" w:after="100"/>
      </w:pPr>
      <w:r>
        <w:rPr>
          <w:rFonts w:ascii="Arial" w:cs="Arial" w:eastAsia="Arial" w:hAnsi="Arial"/>
          <w:b/>
          <w:bCs/>
          <w:color w:val="2E75B6"/>
          <w:sz w:val="26"/>
          <w:szCs w:val="26"/>
        </w:rPr>
        <w:t xml:space="preserve">2.1  Source Data — iris_combined.csv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Property</w:t>
            </w:r>
          </w:p>
        </w:tc>
        <w:tc>
          <w:tcPr>
            <w:tcW w:type="dxa" w:w="636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Value</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File</w:t>
            </w:r>
          </w:p>
        </w:tc>
        <w:tc>
          <w:tcPr>
            <w:tcW w:type="dxa" w:w="6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CCR_data/iris/iris_combined.csv</w:t>
            </w:r>
          </w:p>
        </w:tc>
      </w:tr>
      <w:tr>
        <w:tc>
          <w:tcPr>
            <w:tcW w:type="dxa" w:w="30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Generated by</w:t>
            </w:r>
          </w:p>
        </w:tc>
        <w:tc>
          <w:tcPr>
            <w:tcW w:type="dxa" w:w="63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combine_iris.py — reads IRIS_ALL_PROD_UTIL_*.csv, extracts date from filename, prepends Date column</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Production row count</w:t>
            </w:r>
          </w:p>
        </w:tc>
        <w:tc>
          <w:tcPr>
            <w:tcW w:type="dxa" w:w="6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~285,936 rows per daily snapshot — 300k rows × ~365 dates = 100M+ rows total</w:t>
            </w:r>
          </w:p>
        </w:tc>
      </w:tr>
      <w:tr>
        <w:tc>
          <w:tcPr>
            <w:tcW w:type="dxa" w:w="30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Counterparties</w:t>
            </w:r>
          </w:p>
        </w:tc>
        <w:tc>
          <w:tcPr>
            <w:tcW w:type="dxa" w:w="63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~5,000 across all snapshot dates</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Date range</w:t>
            </w:r>
          </w:p>
        </w:tc>
        <w:tc>
          <w:tcPr>
            <w:tcW w:type="dxa" w:w="6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2025-11-27 → 2026-03-27 (11 snapshots in test data)</w:t>
            </w:r>
          </w:p>
        </w:tc>
      </w:tr>
      <w:tr>
        <w:tc>
          <w:tcPr>
            <w:tcW w:type="dxa" w:w="30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Columns</w:t>
            </w:r>
          </w:p>
        </w:tc>
        <w:tc>
          <w:tcPr>
            <w:tcW w:type="dxa" w:w="63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42 (Date + 41 original IRIS columns)</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Encoding</w:t>
            </w:r>
          </w:p>
        </w:tc>
        <w:tc>
          <w:tcPr>
            <w:tcW w:type="dxa" w:w="6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latin1 — MUST be specified in pd.read_csv()</w:t>
            </w:r>
          </w:p>
        </w:tc>
      </w:tr>
      <w:tr>
        <w:tc>
          <w:tcPr>
            <w:tcW w:type="dxa" w:w="30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Config key</w:t>
            </w:r>
          </w:p>
        </w:tc>
        <w:tc>
          <w:tcPr>
            <w:tcW w:type="dxa" w:w="63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data.iris_combined_csv in config/application.properties</w:t>
            </w:r>
          </w:p>
        </w:tc>
      </w:tr>
    </w:tbl>
    <w:p>
      <w:pPr>
        <w:spacing w:before="200" w:after="0"/>
      </w:pPr>
      <w:r>
        <w:t xml:space="preserve"/>
      </w:r>
    </w:p>
    <w:p>
      <w:pPr>
        <w:pStyle w:val="Heading2"/>
        <w:spacing w:before="280" w:after="100"/>
      </w:pPr>
      <w:r>
        <w:rPr>
          <w:rFonts w:ascii="Arial" w:cs="Arial" w:eastAsia="Arial" w:hAnsi="Arial"/>
          <w:b/>
          <w:bCs/>
          <w:color w:val="2E75B6"/>
          <w:sz w:val="26"/>
          <w:szCs w:val="26"/>
        </w:rPr>
        <w:t xml:space="preserve">2.2  All 42 Columns</w:t>
      </w:r>
    </w:p>
    <w:tbl>
      <w:tblPr>
        <w:tblW w:type="dxa" w:w="8160"/>
        <w:tblBorders>
          <w:top w:val="single" w:color="auto" w:sz="4"/>
          <w:left w:val="single" w:color="auto" w:sz="4"/>
          <w:bottom w:val="single" w:color="auto" w:sz="4"/>
          <w:right w:val="single" w:color="auto" w:sz="4"/>
          <w:insideH w:val="single" w:color="auto" w:sz="4"/>
          <w:insideV w:val="single" w:color="auto" w:sz="4"/>
        </w:tblBorders>
      </w:tblPr>
      <w:tblGrid>
        <w:gridCol w:w="600"/>
        <w:gridCol w:w="3480"/>
        <w:gridCol w:w="600"/>
        <w:gridCol w:w="3480"/>
      </w:tblGrid>
      <w:tr>
        <w:trPr>
          <w:tblHeader/>
        </w:trPr>
        <w:tc>
          <w:tcPr>
            <w:tcW w:type="dxa" w:w="6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w:t>
            </w:r>
          </w:p>
        </w:tc>
        <w:tc>
          <w:tcPr>
            <w:tcW w:type="dxa" w:w="348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Column Name</w:t>
            </w:r>
          </w:p>
        </w:tc>
        <w:tc>
          <w:tcPr>
            <w:tcW w:type="dxa" w:w="6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w:t>
            </w:r>
          </w:p>
        </w:tc>
        <w:tc>
          <w:tcPr>
            <w:tcW w:type="dxa" w:w="348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Column Name</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1</w:t>
            </w:r>
          </w:p>
        </w:tc>
        <w:tc>
          <w:tcPr>
            <w:tcW w:type="dxa" w:w="348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Date</w:t>
            </w:r>
          </w:p>
        </w:tc>
        <w:tc>
          <w:tcPr>
            <w:tcW w:type="dxa" w:w="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22</w:t>
            </w:r>
          </w:p>
        </w:tc>
        <w:tc>
          <w:tcPr>
            <w:tcW w:type="dxa" w:w="348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Facility Exposure (Cust Level)</w:t>
            </w:r>
          </w:p>
        </w:tc>
      </w:tr>
      <w:tr>
        <w:tc>
          <w:tcPr>
            <w:tcW w:type="dxa" w:w="6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2</w:t>
            </w:r>
          </w:p>
        </w:tc>
        <w:tc>
          <w:tcPr>
            <w:tcW w:type="dxa" w:w="348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Product</w:t>
            </w:r>
          </w:p>
        </w:tc>
        <w:tc>
          <w:tcPr>
            <w:tcW w:type="dxa" w:w="6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23</w:t>
            </w:r>
          </w:p>
        </w:tc>
        <w:tc>
          <w:tcPr>
            <w:tcW w:type="dxa" w:w="348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Facility Avail (Cust Level)</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3</w:t>
            </w:r>
          </w:p>
        </w:tc>
        <w:tc>
          <w:tcPr>
            <w:tcW w:type="dxa" w:w="348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Customer Code</w:t>
            </w:r>
          </w:p>
        </w:tc>
        <w:tc>
          <w:tcPr>
            <w:tcW w:type="dxa" w:w="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24</w:t>
            </w:r>
          </w:p>
        </w:tc>
        <w:tc>
          <w:tcPr>
            <w:tcW w:type="dxa" w:w="348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Agreement Limit (Cust Level)</w:t>
            </w:r>
          </w:p>
        </w:tc>
      </w:tr>
      <w:tr>
        <w:tc>
          <w:tcPr>
            <w:tcW w:type="dxa" w:w="6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4</w:t>
            </w:r>
          </w:p>
        </w:tc>
        <w:tc>
          <w:tcPr>
            <w:tcW w:type="dxa" w:w="348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Customer Name</w:t>
            </w:r>
          </w:p>
        </w:tc>
        <w:tc>
          <w:tcPr>
            <w:tcW w:type="dxa" w:w="6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25</w:t>
            </w:r>
          </w:p>
        </w:tc>
        <w:tc>
          <w:tcPr>
            <w:tcW w:type="dxa" w:w="348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Agreement Exposure (Cust Level)</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5</w:t>
            </w:r>
          </w:p>
        </w:tc>
        <w:tc>
          <w:tcPr>
            <w:tcW w:type="dxa" w:w="348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Customer Internal Rating</w:t>
            </w:r>
          </w:p>
        </w:tc>
        <w:tc>
          <w:tcPr>
            <w:tcW w:type="dxa" w:w="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26</w:t>
            </w:r>
          </w:p>
        </w:tc>
        <w:tc>
          <w:tcPr>
            <w:tcW w:type="dxa" w:w="348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Agreement Avail (Cust Level)</w:t>
            </w:r>
          </w:p>
        </w:tc>
      </w:tr>
      <w:tr>
        <w:tc>
          <w:tcPr>
            <w:tcW w:type="dxa" w:w="6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6</w:t>
            </w:r>
          </w:p>
        </w:tc>
        <w:tc>
          <w:tcPr>
            <w:tcW w:type="dxa" w:w="348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Legal Entity</w:t>
            </w:r>
          </w:p>
        </w:tc>
        <w:tc>
          <w:tcPr>
            <w:tcW w:type="dxa" w:w="6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27</w:t>
            </w:r>
          </w:p>
        </w:tc>
        <w:tc>
          <w:tcPr>
            <w:tcW w:type="dxa" w:w="348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Facility Limit (Conn Level)</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7</w:t>
            </w:r>
          </w:p>
        </w:tc>
        <w:tc>
          <w:tcPr>
            <w:tcW w:type="dxa" w:w="348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Facility ID</w:t>
            </w:r>
          </w:p>
        </w:tc>
        <w:tc>
          <w:tcPr>
            <w:tcW w:type="dxa" w:w="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28</w:t>
            </w:r>
          </w:p>
        </w:tc>
        <w:tc>
          <w:tcPr>
            <w:tcW w:type="dxa" w:w="348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Facility Exposure (Conn Level)</w:t>
            </w:r>
          </w:p>
        </w:tc>
      </w:tr>
      <w:tr>
        <w:tc>
          <w:tcPr>
            <w:tcW w:type="dxa" w:w="6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8</w:t>
            </w:r>
          </w:p>
        </w:tc>
        <w:tc>
          <w:tcPr>
            <w:tcW w:type="dxa" w:w="348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Agreement</w:t>
            </w:r>
          </w:p>
        </w:tc>
        <w:tc>
          <w:tcPr>
            <w:tcW w:type="dxa" w:w="6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29</w:t>
            </w:r>
          </w:p>
        </w:tc>
        <w:tc>
          <w:tcPr>
            <w:tcW w:type="dxa" w:w="348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Facility Avail (Conn Level)</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9</w:t>
            </w:r>
          </w:p>
        </w:tc>
        <w:tc>
          <w:tcPr>
            <w:tcW w:type="dxa" w:w="348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Term</w:t>
            </w:r>
          </w:p>
        </w:tc>
        <w:tc>
          <w:tcPr>
            <w:tcW w:type="dxa" w:w="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30</w:t>
            </w:r>
          </w:p>
        </w:tc>
        <w:tc>
          <w:tcPr>
            <w:tcW w:type="dxa" w:w="348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Country</w:t>
            </w:r>
          </w:p>
        </w:tc>
      </w:tr>
      <w:tr>
        <w:tc>
          <w:tcPr>
            <w:tcW w:type="dxa" w:w="6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10</w:t>
            </w:r>
          </w:p>
        </w:tc>
        <w:tc>
          <w:tcPr>
            <w:tcW w:type="dxa" w:w="348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Term End Date</w:t>
            </w:r>
          </w:p>
        </w:tc>
        <w:tc>
          <w:tcPr>
            <w:tcW w:type="dxa" w:w="6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31</w:t>
            </w:r>
          </w:p>
        </w:tc>
        <w:tc>
          <w:tcPr>
            <w:tcW w:type="dxa" w:w="348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Country Rating</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11</w:t>
            </w:r>
          </w:p>
        </w:tc>
        <w:tc>
          <w:tcPr>
            <w:tcW w:type="dxa" w:w="348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Max Avail</w:t>
            </w:r>
          </w:p>
        </w:tc>
        <w:tc>
          <w:tcPr>
            <w:tcW w:type="dxa" w:w="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32</w:t>
            </w:r>
          </w:p>
        </w:tc>
        <w:tc>
          <w:tcPr>
            <w:tcW w:type="dxa" w:w="348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CSA Agreement</w:t>
            </w:r>
          </w:p>
        </w:tc>
      </w:tr>
      <w:tr>
        <w:tc>
          <w:tcPr>
            <w:tcW w:type="dxa" w:w="6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12</w:t>
            </w:r>
          </w:p>
        </w:tc>
        <w:tc>
          <w:tcPr>
            <w:tcW w:type="dxa" w:w="348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Product Limit</w:t>
            </w:r>
          </w:p>
        </w:tc>
        <w:tc>
          <w:tcPr>
            <w:tcW w:type="dxa" w:w="6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33</w:t>
            </w:r>
          </w:p>
        </w:tc>
        <w:tc>
          <w:tcPr>
            <w:tcW w:type="dxa" w:w="348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Netting Agreement</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13</w:t>
            </w:r>
          </w:p>
        </w:tc>
        <w:tc>
          <w:tcPr>
            <w:tcW w:type="dxa" w:w="348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Product Exposure</w:t>
            </w:r>
          </w:p>
        </w:tc>
        <w:tc>
          <w:tcPr>
            <w:tcW w:type="dxa" w:w="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34</w:t>
            </w:r>
          </w:p>
        </w:tc>
        <w:tc>
          <w:tcPr>
            <w:tcW w:type="dxa" w:w="348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Measure</w:t>
            </w:r>
          </w:p>
        </w:tc>
      </w:tr>
      <w:tr>
        <w:tc>
          <w:tcPr>
            <w:tcW w:type="dxa" w:w="6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14</w:t>
            </w:r>
          </w:p>
        </w:tc>
        <w:tc>
          <w:tcPr>
            <w:tcW w:type="dxa" w:w="348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Product Avail</w:t>
            </w:r>
          </w:p>
        </w:tc>
        <w:tc>
          <w:tcPr>
            <w:tcW w:type="dxa" w:w="6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35</w:t>
            </w:r>
          </w:p>
        </w:tc>
        <w:tc>
          <w:tcPr>
            <w:tcW w:type="dxa" w:w="348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Product Limit Currency</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15</w:t>
            </w:r>
          </w:p>
        </w:tc>
        <w:tc>
          <w:tcPr>
            <w:tcW w:type="dxa" w:w="348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Cust Limit</w:t>
            </w:r>
          </w:p>
        </w:tc>
        <w:tc>
          <w:tcPr>
            <w:tcW w:type="dxa" w:w="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36</w:t>
            </w:r>
          </w:p>
        </w:tc>
        <w:tc>
          <w:tcPr>
            <w:tcW w:type="dxa" w:w="348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Agreement Limit Currency</w:t>
            </w:r>
          </w:p>
        </w:tc>
      </w:tr>
      <w:tr>
        <w:tc>
          <w:tcPr>
            <w:tcW w:type="dxa" w:w="6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16</w:t>
            </w:r>
          </w:p>
        </w:tc>
        <w:tc>
          <w:tcPr>
            <w:tcW w:type="dxa" w:w="348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Cust Exposure</w:t>
            </w:r>
          </w:p>
        </w:tc>
        <w:tc>
          <w:tcPr>
            <w:tcW w:type="dxa" w:w="6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37</w:t>
            </w:r>
          </w:p>
        </w:tc>
        <w:tc>
          <w:tcPr>
            <w:tcW w:type="dxa" w:w="348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Customer Limit Currency</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17</w:t>
            </w:r>
          </w:p>
        </w:tc>
        <w:tc>
          <w:tcPr>
            <w:tcW w:type="dxa" w:w="348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Cust Avail</w:t>
            </w:r>
          </w:p>
        </w:tc>
        <w:tc>
          <w:tcPr>
            <w:tcW w:type="dxa" w:w="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38</w:t>
            </w:r>
          </w:p>
        </w:tc>
        <w:tc>
          <w:tcPr>
            <w:tcW w:type="dxa" w:w="348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Connection Limit Currency</w:t>
            </w:r>
          </w:p>
        </w:tc>
      </w:tr>
      <w:tr>
        <w:tc>
          <w:tcPr>
            <w:tcW w:type="dxa" w:w="6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18</w:t>
            </w:r>
          </w:p>
        </w:tc>
        <w:tc>
          <w:tcPr>
            <w:tcW w:type="dxa" w:w="348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Conn Limit</w:t>
            </w:r>
          </w:p>
        </w:tc>
        <w:tc>
          <w:tcPr>
            <w:tcW w:type="dxa" w:w="6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39</w:t>
            </w:r>
          </w:p>
        </w:tc>
        <w:tc>
          <w:tcPr>
            <w:tcW w:type="dxa" w:w="348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Facility Cust Currency</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19</w:t>
            </w:r>
          </w:p>
        </w:tc>
        <w:tc>
          <w:tcPr>
            <w:tcW w:type="dxa" w:w="348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Conn Exposure</w:t>
            </w:r>
          </w:p>
        </w:tc>
        <w:tc>
          <w:tcPr>
            <w:tcW w:type="dxa" w:w="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40</w:t>
            </w:r>
          </w:p>
        </w:tc>
        <w:tc>
          <w:tcPr>
            <w:tcW w:type="dxa" w:w="348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Facility Conn Currency</w:t>
            </w:r>
          </w:p>
        </w:tc>
      </w:tr>
      <w:tr>
        <w:tc>
          <w:tcPr>
            <w:tcW w:type="dxa" w:w="6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20</w:t>
            </w:r>
          </w:p>
        </w:tc>
        <w:tc>
          <w:tcPr>
            <w:tcW w:type="dxa" w:w="348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Conn Avail</w:t>
            </w:r>
          </w:p>
        </w:tc>
        <w:tc>
          <w:tcPr>
            <w:tcW w:type="dxa" w:w="6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41</w:t>
            </w:r>
          </w:p>
        </w:tc>
        <w:tc>
          <w:tcPr>
            <w:tcW w:type="dxa" w:w="348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Connection Code</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21</w:t>
            </w:r>
          </w:p>
        </w:tc>
        <w:tc>
          <w:tcPr>
            <w:tcW w:type="dxa" w:w="348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Facility Limit (Cust Level)</w:t>
            </w:r>
          </w:p>
        </w:tc>
        <w:tc>
          <w:tcPr>
            <w:tcW w:type="dxa" w:w="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w:t>
            </w:r>
          </w:p>
        </w:tc>
        <w:tc>
          <w:tcPr>
            <w:tcW w:type="dxa" w:w="348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w:t>
            </w:r>
          </w:p>
        </w:tc>
      </w:tr>
    </w:tbl>
    <w:p>
      <w:pPr>
        <w:spacing w:before="200" w:after="0"/>
      </w:pPr>
      <w:r>
        <w:t xml:space="preserve"/>
      </w:r>
    </w:p>
    <w:p>
      <w:pPr>
        <w:pStyle w:val="Heading2"/>
        <w:spacing w:before="280" w:after="100"/>
      </w:pPr>
      <w:r>
        <w:rPr>
          <w:rFonts w:ascii="Arial" w:cs="Arial" w:eastAsia="Arial" w:hAnsi="Arial"/>
          <w:b/>
          <w:bCs/>
          <w:color w:val="2E75B6"/>
          <w:sz w:val="26"/>
          <w:szCs w:val="26"/>
        </w:rPr>
        <w:t xml:space="preserve">2.3  ⚠  CRITICAL: Limits Are NOT Additive — Never Aggregate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CCCC" w:val="clear"/>
            <w:tcMar>
              <w:top w:type="dxa" w:w="140"/>
              <w:left w:type="dxa" w:w="200"/>
              <w:bottom w:type="dxa" w:w="140"/>
              <w:right w:type="dxa" w:w="200"/>
            </w:tcMar>
          </w:tcPr>
          <w:p>
            <w:r>
              <w:rPr>
                <w:rFonts w:ascii="Arial" w:cs="Arial" w:eastAsia="Arial" w:hAnsi="Arial"/>
                <w:b/>
                <w:bCs/>
                <w:color w:val="9C0006"/>
                <w:sz w:val="22"/>
                <w:szCs w:val="22"/>
              </w:rPr>
              <w:t xml:space="preserve">NON-AGGREGATION RULE:  </w:t>
            </w:r>
            <w:r>
              <w:rPr>
                <w:rFonts w:ascii="Arial" w:cs="Arial" w:eastAsia="Arial" w:hAnsi="Arial"/>
                <w:color w:val="9C0006"/>
                <w:sz w:val="22"/>
                <w:szCs w:val="22"/>
              </w:rPr>
              <w:t xml:space="preserve">Product limits, Customer limits, and Connection limits are independent, parallel risk controls. They govern different dimensions of the same exposure and must NEVER be summed or aggregated across levels. Doing so produces a meaningless and dangerously misleading number. Always report each limit level separately, identified by its limit_key.</w:t>
            </w:r>
          </w:p>
        </w:tc>
      </w:tr>
    </w:tbl>
    <w:p>
      <w:pPr>
        <w:spacing w:before="80" w:after="0"/>
      </w:pPr>
      <w:r>
        <w:t xml:space="preserve"/>
      </w:r>
    </w:p>
    <w:p>
      <w:pPr>
        <w:spacing w:before="60" w:after="80"/>
      </w:pPr>
      <w:r>
        <w:rPr>
          <w:rFonts w:ascii="Arial" w:cs="Arial" w:eastAsia="Arial" w:hAnsi="Arial"/>
          <w:sz w:val="22"/>
          <w:szCs w:val="22"/>
        </w:rPr>
        <w:t xml:space="preserve">Example: A counterparty may have a $100M Product limit for FX Forward AND a $150M Customer limit. These are not additive — each is a standalone control. The agent must surface them as separate records and must never sum them.</w:t>
      </w:r>
    </w:p>
    <w:p>
      <w:pPr>
        <w:spacing w:before="200" w:after="0"/>
      </w:pPr>
      <w:r>
        <w:t xml:space="preserve"/>
      </w:r>
    </w:p>
    <w:p>
      <w:pPr>
        <w:pStyle w:val="Heading2"/>
        <w:spacing w:before="280" w:after="100"/>
      </w:pPr>
      <w:r>
        <w:rPr>
          <w:rFonts w:ascii="Arial" w:cs="Arial" w:eastAsia="Arial" w:hAnsi="Arial"/>
          <w:b/>
          <w:bCs/>
          <w:color w:val="2E75B6"/>
          <w:sz w:val="26"/>
          <w:szCs w:val="26"/>
        </w:rPr>
        <w:t xml:space="preserve">2.4  The Limit Key — Universal Record Identifier</w:t>
      </w:r>
    </w:p>
    <w:p>
      <w:pPr>
        <w:spacing w:before="60" w:after="80"/>
      </w:pPr>
      <w:r>
        <w:rPr>
          <w:rFonts w:ascii="Arial" w:cs="Arial" w:eastAsia="Arial" w:hAnsi="Arial"/>
          <w:sz w:val="22"/>
          <w:szCs w:val="22"/>
        </w:rPr>
        <w:t xml:space="preserve">Every limit record is uniquely identified by a composite key. This key must be present in every tool response that returns limit or exposure data.</w:t>
      </w:r>
    </w:p>
    <w:p>
      <w:pPr>
        <w:spacing w:before="80" w:after="0"/>
      </w:pPr>
      <w:r>
        <w:t xml:space="preserve"/>
      </w:r>
    </w:p>
    <w:p>
      <w:pPr>
        <w:shd w:fill="F0F0F0" w:val="clear"/>
        <w:spacing w:before="40" w:after="40"/>
        <w:ind w:left="360"/>
      </w:pPr>
      <w:r>
        <w:rPr>
          <w:rFonts w:ascii="Courier New" w:cs="Courier New" w:eastAsia="Courier New" w:hAnsi="Courier New"/>
          <w:color w:val="333333"/>
          <w:sz w:val="19"/>
          <w:szCs w:val="19"/>
        </w:rPr>
        <w:t xml:space="preserve">limit_key = {counterparty_code} / {facility_id} / {legal_entity} / {product}</w:t>
      </w:r>
    </w:p>
    <w:p>
      <w:pPr>
        <w:shd w:fill="F0F0F0" w:val="clear"/>
        <w:spacing w:before="40" w:after="40"/>
        <w:ind w:left="360"/>
      </w:pPr>
      <w:r>
        <w:rPr>
          <w:rFonts w:ascii="Courier New" w:cs="Courier New" w:eastAsia="Courier New" w:hAnsi="Courier New"/>
          <w:color w:val="333333"/>
          <w:sz w:val="19"/>
          <w:szCs w:val="19"/>
        </w:rPr>
        <w:t xml:space="preserve">Example:   RBC / 76830 / BCMC / FX Forward</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Key Component</w:t>
            </w:r>
          </w:p>
        </w:tc>
        <w:tc>
          <w:tcPr>
            <w:tcW w:type="dxa" w:w="24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IRIS Column</w:t>
            </w:r>
          </w:p>
        </w:tc>
        <w:tc>
          <w:tcPr>
            <w:tcW w:type="dxa" w:w="456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counterparty_code</w:t>
            </w:r>
          </w:p>
        </w:tc>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Customer Code</w:t>
            </w:r>
          </w:p>
        </w:tc>
        <w:tc>
          <w:tcPr>
            <w:tcW w:type="dxa" w:w="4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Unique code for the counterparty</w:t>
            </w:r>
          </w:p>
        </w:tc>
      </w:tr>
      <w:tr>
        <w:tc>
          <w:tcPr>
            <w:tcW w:type="dxa" w:w="24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facility_id</w:t>
            </w:r>
          </w:p>
        </w:tc>
        <w:tc>
          <w:tcPr>
            <w:tcW w:type="dxa" w:w="24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Facility ID</w:t>
            </w:r>
          </w:p>
        </w:tc>
        <w:tc>
          <w:tcPr>
            <w:tcW w:type="dxa" w:w="45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UEN — numeric facility identifier</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legal_entity</w:t>
            </w:r>
          </w:p>
        </w:tc>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Legal Entity</w:t>
            </w:r>
          </w:p>
        </w:tc>
        <w:tc>
          <w:tcPr>
            <w:tcW w:type="dxa" w:w="4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Bank legal entity (BCMC, BMO, etc.)</w:t>
            </w:r>
          </w:p>
        </w:tc>
      </w:tr>
      <w:tr>
        <w:tc>
          <w:tcPr>
            <w:tcW w:type="dxa" w:w="24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product</w:t>
            </w:r>
          </w:p>
        </w:tc>
        <w:tc>
          <w:tcPr>
            <w:tcW w:type="dxa" w:w="24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Product</w:t>
            </w:r>
          </w:p>
        </w:tc>
        <w:tc>
          <w:tcPr>
            <w:tcW w:type="dxa" w:w="45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Product type (FX Forward, Derivative Products, etc.)</w:t>
            </w:r>
          </w:p>
        </w:tc>
      </w:tr>
    </w:tbl>
    <w:p>
      <w:pPr>
        <w:spacing w:before="200" w:after="0"/>
      </w:pPr>
      <w:r>
        <w:t xml:space="preserve"/>
      </w:r>
    </w:p>
    <w:p>
      <w:pPr>
        <w:pStyle w:val="Heading2"/>
        <w:spacing w:before="280" w:after="100"/>
      </w:pPr>
      <w:r>
        <w:rPr>
          <w:rFonts w:ascii="Arial" w:cs="Arial" w:eastAsia="Arial" w:hAnsi="Arial"/>
          <w:b/>
          <w:bCs/>
          <w:color w:val="2E75B6"/>
          <w:sz w:val="26"/>
          <w:szCs w:val="26"/>
        </w:rPr>
        <w:t xml:space="preserve">2.5  Legal Entity Enum Values</w:t>
      </w:r>
    </w:p>
    <w:p>
      <w:pPr>
        <w:shd w:fill="F0F0F0" w:val="clear"/>
        <w:spacing w:before="40" w:after="40"/>
        <w:ind w:left="360"/>
      </w:pPr>
      <w:r>
        <w:rPr>
          <w:rFonts w:ascii="Courier New" w:cs="Courier New" w:eastAsia="Courier New" w:hAnsi="Courier New"/>
          <w:color w:val="333333"/>
          <w:sz w:val="19"/>
          <w:szCs w:val="19"/>
        </w:rPr>
        <w:t xml:space="preserve">BCMC | HARRIS BANK | BMO | BNBI | BOMI | BHIC | BMN | BCML | BLAC | BMMC</w:t>
      </w:r>
    </w:p>
    <w:p>
      <w:pPr>
        <w:spacing w:before="200" w:after="0"/>
      </w:pPr>
      <w:r>
        <w:t xml:space="preserve"/>
      </w:r>
    </w:p>
    <w:p>
      <w:pPr>
        <w:pStyle w:val="Heading2"/>
        <w:spacing w:before="280" w:after="100"/>
      </w:pPr>
      <w:r>
        <w:rPr>
          <w:rFonts w:ascii="Arial" w:cs="Arial" w:eastAsia="Arial" w:hAnsi="Arial"/>
          <w:b/>
          <w:bCs/>
          <w:color w:val="2E75B6"/>
          <w:sz w:val="26"/>
          <w:szCs w:val="26"/>
        </w:rPr>
        <w:t xml:space="preserve">2.6  Available Snapshot Dates (Test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Date</w:t>
            </w:r>
          </w:p>
        </w:tc>
        <w:tc>
          <w:tcPr>
            <w:tcW w:type="dxa" w:w="636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Type</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2025-11-27</w:t>
            </w:r>
          </w:p>
        </w:tc>
        <w:tc>
          <w:tcPr>
            <w:tcW w:type="dxa" w:w="6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Monthly snapshot</w:t>
            </w:r>
          </w:p>
        </w:tc>
      </w:tr>
      <w:tr>
        <w:tc>
          <w:tcPr>
            <w:tcW w:type="dxa" w:w="30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2025-12-27</w:t>
            </w:r>
          </w:p>
        </w:tc>
        <w:tc>
          <w:tcPr>
            <w:tcW w:type="dxa" w:w="63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Monthly snapshot</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2026-01-27</w:t>
            </w:r>
          </w:p>
        </w:tc>
        <w:tc>
          <w:tcPr>
            <w:tcW w:type="dxa" w:w="6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Monthly snapshot</w:t>
            </w:r>
          </w:p>
        </w:tc>
      </w:tr>
      <w:tr>
        <w:tc>
          <w:tcPr>
            <w:tcW w:type="dxa" w:w="30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2026-02-27</w:t>
            </w:r>
          </w:p>
        </w:tc>
        <w:tc>
          <w:tcPr>
            <w:tcW w:type="dxa" w:w="63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Monthly snapshot</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2026-03-20</w:t>
            </w:r>
          </w:p>
        </w:tc>
        <w:tc>
          <w:tcPr>
            <w:tcW w:type="dxa" w:w="6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Daily snapshot</w:t>
            </w:r>
          </w:p>
        </w:tc>
      </w:tr>
      <w:tr>
        <w:tc>
          <w:tcPr>
            <w:tcW w:type="dxa" w:w="30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2026-03-21</w:t>
            </w:r>
          </w:p>
        </w:tc>
        <w:tc>
          <w:tcPr>
            <w:tcW w:type="dxa" w:w="63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Daily snapshot</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2026-03-23</w:t>
            </w:r>
          </w:p>
        </w:tc>
        <w:tc>
          <w:tcPr>
            <w:tcW w:type="dxa" w:w="6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Daily snapshot</w:t>
            </w:r>
          </w:p>
        </w:tc>
      </w:tr>
      <w:tr>
        <w:tc>
          <w:tcPr>
            <w:tcW w:type="dxa" w:w="30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2026-03-24</w:t>
            </w:r>
          </w:p>
        </w:tc>
        <w:tc>
          <w:tcPr>
            <w:tcW w:type="dxa" w:w="63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Daily snapshot</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2026-03-25</w:t>
            </w:r>
          </w:p>
        </w:tc>
        <w:tc>
          <w:tcPr>
            <w:tcW w:type="dxa" w:w="6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Daily snapshot</w:t>
            </w:r>
          </w:p>
        </w:tc>
      </w:tr>
      <w:tr>
        <w:tc>
          <w:tcPr>
            <w:tcW w:type="dxa" w:w="30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2026-03-26</w:t>
            </w:r>
          </w:p>
        </w:tc>
        <w:tc>
          <w:tcPr>
            <w:tcW w:type="dxa" w:w="63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Daily snapshot</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2026-03-27</w:t>
            </w:r>
          </w:p>
        </w:tc>
        <w:tc>
          <w:tcPr>
            <w:tcW w:type="dxa" w:w="6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Daily snapshot (latest)</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280"/>
              <w:bottom w:type="dxa" w:w="200"/>
              <w:right w:type="dxa" w:w="280"/>
            </w:tcMar>
          </w:tcPr>
          <w:p>
            <w:r>
              <w:rPr>
                <w:rFonts w:ascii="Arial" w:cs="Arial" w:eastAsia="Arial" w:hAnsi="Arial"/>
                <w:b/>
                <w:bCs/>
                <w:color w:val="8899BB"/>
                <w:sz w:val="56"/>
                <w:szCs w:val="56"/>
              </w:rPr>
              <w:t xml:space="preserve">03</w:t>
            </w:r>
            <w:r>
              <w:rPr>
                <w:rFonts w:ascii="Arial" w:cs="Arial" w:eastAsia="Arial" w:hAnsi="Arial"/>
                <w:b/>
                <w:bCs/>
                <w:color w:val="FFFFFF"/>
                <w:sz w:val="32"/>
                <w:szCs w:val="32"/>
              </w:rPr>
              <w:t xml:space="preserve">   Tool Specifications</w:t>
            </w:r>
          </w:p>
          <w:p>
            <w:r>
              <w:rPr>
                <w:rFonts w:ascii="Arial" w:cs="Arial" w:eastAsia="Arial" w:hAnsi="Arial"/>
                <w:i/>
                <w:iCs/>
                <w:color w:val="AACFEE"/>
                <w:sz w:val="20"/>
                <w:szCs w:val="20"/>
              </w:rPr>
              <w:t xml:space="preserve">All 9 IRIS CCR tools — inputs, outputs, rules</w:t>
            </w:r>
          </w:p>
        </w:tc>
      </w:tr>
    </w:tbl>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F2CC" w:val="clear"/>
            <w:tcMar>
              <w:top w:type="dxa" w:w="140"/>
              <w:left w:type="dxa" w:w="200"/>
              <w:bottom w:type="dxa" w:w="140"/>
              <w:right w:type="dxa" w:w="200"/>
            </w:tcMar>
          </w:tcPr>
          <w:p>
            <w:r>
              <w:rPr>
                <w:rFonts w:ascii="Arial" w:cs="Arial" w:eastAsia="Arial" w:hAnsi="Arial"/>
                <w:b/>
                <w:bCs/>
                <w:color w:val="7F6000"/>
                <w:sz w:val="22"/>
                <w:szCs w:val="22"/>
              </w:rPr>
              <w:t xml:space="preserve">Parameter Rule:  </w:t>
            </w:r>
            <w:r>
              <w:rPr>
                <w:rFonts w:ascii="Arial" w:cs="Arial" w:eastAsia="Arial" w:hAnsi="Arial"/>
                <w:color w:val="7F6000"/>
                <w:sz w:val="22"/>
                <w:szCs w:val="22"/>
              </w:rPr>
              <w:t xml:space="preserve">Every tool (except iris_list_dates and portfolio-wide scan/screen tools) requires BOTH date AND counterparty_code as mandatory parameters. This is critical for performance on a 100M+ row dataset.</w:t>
            </w:r>
          </w:p>
        </w:tc>
      </w:tr>
    </w:tbl>
    <w:p>
      <w:pPr>
        <w:spacing w:before="120" w:after="0"/>
      </w:pPr>
      <w:r>
        <w:t xml:space="preserve"/>
      </w:r>
    </w:p>
    <w:p>
      <w:pPr>
        <w:pStyle w:val="Heading2"/>
        <w:spacing w:before="280" w:after="100"/>
      </w:pPr>
      <w:r>
        <w:rPr>
          <w:rFonts w:ascii="Arial" w:cs="Arial" w:eastAsia="Arial" w:hAnsi="Arial"/>
          <w:b/>
          <w:bCs/>
          <w:color w:val="2E75B6"/>
          <w:sz w:val="26"/>
          <w:szCs w:val="26"/>
        </w:rPr>
        <w:t xml:space="preserve">Tool 1 — iris_list_dates</w:t>
      </w:r>
    </w:p>
    <w:p>
      <w:pPr>
        <w:spacing w:before="60" w:after="80"/>
      </w:pPr>
      <w:r>
        <w:rPr>
          <w:rFonts w:ascii="Arial" w:cs="Arial" w:eastAsia="Arial" w:hAnsi="Arial"/>
          <w:sz w:val="22"/>
          <w:szCs w:val="22"/>
        </w:rPr>
        <w:t xml:space="preserve">Discover available snapshot dates in the IRIS dataset. This must be the first tool called in any agent workflow before any other IRIS tool.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Property</w:t>
            </w:r>
          </w:p>
        </w:tc>
        <w:tc>
          <w:tcPr>
            <w:tcW w:type="dxa" w:w="696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Value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Prompt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What dates are available in IRIS?</w:t>
            </w:r>
          </w:p>
        </w:tc>
      </w:tr>
      <w:tr>
        <w:tc>
          <w:tcPr>
            <w:tcW w:type="dxa" w:w="24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Required params</w:t>
            </w:r>
          </w:p>
        </w:tc>
        <w:tc>
          <w:tcPr>
            <w:tcW w:type="dxa" w:w="69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None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Optional params</w:t>
            </w:r>
          </w:p>
        </w:tc>
        <w:tc>
          <w:tcPr>
            <w:tcW w:type="dxa" w:w="69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None</w:t>
            </w:r>
          </w:p>
        </w:tc>
      </w:tr>
      <w:tr>
        <w:tc>
          <w:tcPr>
            <w:tcW w:type="dxa" w:w="24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Output</w:t>
            </w:r>
          </w:p>
        </w:tc>
        <w:tc>
          <w:tcPr>
            <w:tcW w:type="dxa" w:w="69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dates[] (ISO strings), count (int), latest (ISO string)</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Performance note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Reads distinct Date column only — fast</w:t>
            </w:r>
          </w:p>
        </w:tc>
      </w:tr>
    </w:tbl>
    <w:p>
      <w:pPr>
        <w:spacing w:before="200" w:after="0"/>
      </w:pPr>
      <w:r>
        <w:t xml:space="preserve"/>
      </w:r>
    </w:p>
    <w:p>
      <w:pPr>
        <w:pStyle w:val="Heading2"/>
        <w:spacing w:before="280" w:after="100"/>
      </w:pPr>
      <w:r>
        <w:rPr>
          <w:rFonts w:ascii="Arial" w:cs="Arial" w:eastAsia="Arial" w:hAnsi="Arial"/>
          <w:b/>
          <w:bCs/>
          <w:color w:val="2E75B6"/>
          <w:sz w:val="26"/>
          <w:szCs w:val="26"/>
        </w:rPr>
        <w:t xml:space="preserve">Tool 2 — iris_search_counterparties</w:t>
      </w:r>
    </w:p>
    <w:p>
      <w:pPr>
        <w:spacing w:before="60" w:after="80"/>
      </w:pPr>
      <w:r>
        <w:rPr>
          <w:rFonts w:ascii="Arial" w:cs="Arial" w:eastAsia="Arial" w:hAnsi="Arial"/>
          <w:sz w:val="22"/>
          <w:szCs w:val="22"/>
        </w:rPr>
        <w:t xml:space="preserve">Resolve a counterparty by name, code, or UEN. Must be called before any limit/exposure query to confirm the counterparty_code to use downstream.</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Property</w:t>
            </w:r>
          </w:p>
        </w:tc>
        <w:tc>
          <w:tcPr>
            <w:tcW w:type="dxa" w:w="696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Value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Prompt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Find counterparty details for Royal Bank of Canada</w:t>
            </w:r>
          </w:p>
        </w:tc>
      </w:tr>
      <w:tr>
        <w:tc>
          <w:tcPr>
            <w:tcW w:type="dxa" w:w="24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Required (at least one)</w:t>
            </w:r>
          </w:p>
        </w:tc>
        <w:tc>
          <w:tcPr>
            <w:tcW w:type="dxa" w:w="69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search_term (partial match) | counterparty_code (exact) | uen (exact)</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Required</w:t>
            </w:r>
          </w:p>
        </w:tc>
        <w:tc>
          <w:tcPr>
            <w:tcW w:type="dxa" w:w="69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date (default: latest)</w:t>
            </w:r>
          </w:p>
        </w:tc>
      </w:tr>
      <w:tr>
        <w:tc>
          <w:tcPr>
            <w:tcW w:type="dxa" w:w="24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Optional</w:t>
            </w:r>
          </w:p>
        </w:tc>
        <w:tc>
          <w:tcPr>
            <w:tcW w:type="dxa" w:w="69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limit (default 50, max 500)</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Output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counterparties[] (code, name, rating, legal_entity, facility_id, country, country_rating, connection_code), count, date_used</w:t>
            </w:r>
          </w:p>
        </w:tc>
      </w:tr>
      <w:tr>
        <w:tc>
          <w:tcPr>
            <w:tcW w:type="dxa" w:w="24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Rule</w:t>
            </w:r>
          </w:p>
        </w:tc>
        <w:tc>
          <w:tcPr>
            <w:tcW w:type="dxa" w:w="69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Deduplicate results across rows</w:t>
            </w:r>
          </w:p>
        </w:tc>
      </w:tr>
    </w:tbl>
    <w:p>
      <w:pPr>
        <w:spacing w:before="200" w:after="0"/>
      </w:pPr>
      <w:r>
        <w:t xml:space="preserve"/>
      </w:r>
    </w:p>
    <w:p>
      <w:pPr>
        <w:pStyle w:val="Heading2"/>
        <w:spacing w:before="280" w:after="100"/>
      </w:pPr>
      <w:r>
        <w:rPr>
          <w:rFonts w:ascii="Arial" w:cs="Arial" w:eastAsia="Arial" w:hAnsi="Arial"/>
          <w:b/>
          <w:bCs/>
          <w:color w:val="2E75B6"/>
          <w:sz w:val="26"/>
          <w:szCs w:val="26"/>
        </w:rPr>
        <w:t xml:space="preserve">Tool 3 — iris_counterparty_dashboard</w:t>
      </w:r>
    </w:p>
    <w:p>
      <w:pPr>
        <w:spacing w:before="60" w:after="80"/>
      </w:pPr>
      <w:r>
        <w:rPr>
          <w:rFonts w:ascii="Arial" w:cs="Arial" w:eastAsia="Arial" w:hAnsi="Arial"/>
          <w:sz w:val="22"/>
          <w:szCs w:val="22"/>
        </w:rPr>
        <w:t xml:space="preserve">Pull the full CCR picture for a counterparty — all products, all limit levels, all 42 columns.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Property</w:t>
            </w:r>
          </w:p>
        </w:tc>
        <w:tc>
          <w:tcPr>
            <w:tcW w:type="dxa" w:w="696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Value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Prompt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Show me all limits and exposures for RBC as of March 27</w:t>
            </w:r>
          </w:p>
        </w:tc>
      </w:tr>
      <w:tr>
        <w:tc>
          <w:tcPr>
            <w:tcW w:type="dxa" w:w="24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Required</w:t>
            </w:r>
          </w:p>
        </w:tc>
        <w:tc>
          <w:tcPr>
            <w:tcW w:type="dxa" w:w="69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date, counterparty_code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Optional</w:t>
            </w:r>
          </w:p>
        </w:tc>
        <w:tc>
          <w:tcPr>
            <w:tcW w:type="dxa" w:w="69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uen, legal_entity, product</w:t>
            </w:r>
          </w:p>
        </w:tc>
      </w:tr>
      <w:tr>
        <w:tc>
          <w:tcPr>
            <w:tcW w:type="dxa" w:w="24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Output</w:t>
            </w:r>
          </w:p>
        </w:tc>
        <w:tc>
          <w:tcPr>
            <w:tcW w:type="dxa" w:w="69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All 42 columns, row_count, total_matched, filters_applied, date_used</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Default rows</w:t>
            </w:r>
          </w:p>
        </w:tc>
        <w:tc>
          <w:tcPr>
            <w:tcW w:type="dxa" w:w="69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500 | Max rows: 5,000</w:t>
            </w:r>
          </w:p>
        </w:tc>
      </w:tr>
      <w:tr>
        <w:tc>
          <w:tcPr>
            <w:tcW w:type="dxa" w:w="24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Filter logic</w:t>
            </w:r>
          </w:p>
        </w:tc>
        <w:tc>
          <w:tcPr>
            <w:tcW w:type="dxa" w:w="69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All filters ANDed</w:t>
            </w:r>
          </w:p>
        </w:tc>
      </w:tr>
    </w:tbl>
    <w:p>
      <w:pPr>
        <w:spacing w:before="200" w:after="0"/>
      </w:pPr>
      <w:r>
        <w:t xml:space="preserve"/>
      </w:r>
    </w:p>
    <w:p>
      <w:pPr>
        <w:pStyle w:val="Heading2"/>
        <w:spacing w:before="280" w:after="100"/>
      </w:pPr>
      <w:r>
        <w:rPr>
          <w:rFonts w:ascii="Arial" w:cs="Arial" w:eastAsia="Arial" w:hAnsi="Arial"/>
          <w:b/>
          <w:bCs/>
          <w:color w:val="2E75B6"/>
          <w:sz w:val="26"/>
          <w:szCs w:val="26"/>
        </w:rPr>
        <w:t xml:space="preserve">Tool 4 — iris_limit_lookup</w:t>
      </w:r>
    </w:p>
    <w:p>
      <w:pPr>
        <w:spacing w:before="60" w:after="80"/>
      </w:pPr>
      <w:r>
        <w:rPr>
          <w:rFonts w:ascii="Arial" w:cs="Arial" w:eastAsia="Arial" w:hAnsi="Arial"/>
          <w:sz w:val="22"/>
          <w:szCs w:val="22"/>
        </w:rPr>
        <w:t xml:space="preserve">Pinpoint a specific limit record using the composite limit key. Returns the full limit, exposure, and headroom for that exact record.</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Property</w:t>
            </w:r>
          </w:p>
        </w:tc>
        <w:tc>
          <w:tcPr>
            <w:tcW w:type="dxa" w:w="696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Value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Prompt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What is the limit for RBC under BCMC for FX Forward on facility 76830?</w:t>
            </w:r>
          </w:p>
        </w:tc>
      </w:tr>
      <w:tr>
        <w:tc>
          <w:tcPr>
            <w:tcW w:type="dxa" w:w="24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Required</w:t>
            </w:r>
          </w:p>
        </w:tc>
        <w:tc>
          <w:tcPr>
            <w:tcW w:type="dxa" w:w="69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date, counterparty_code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Optional</w:t>
            </w:r>
          </w:p>
        </w:tc>
        <w:tc>
          <w:tcPr>
            <w:tcW w:type="dxa" w:w="69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facility_id, legal_entity, product</w:t>
            </w:r>
          </w:p>
        </w:tc>
      </w:tr>
      <w:tr>
        <w:tc>
          <w:tcPr>
            <w:tcW w:type="dxa" w:w="24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Output</w:t>
            </w:r>
          </w:p>
        </w:tc>
        <w:tc>
          <w:tcPr>
            <w:tcW w:type="dxa" w:w="69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limit_key, limit, exposure, headroom, currency, agreement, cust_limit, conn_limit, internal_rating, date_used</w:t>
            </w:r>
          </w:p>
        </w:tc>
      </w:tr>
    </w:tbl>
    <w:p>
      <w:pPr>
        <w:spacing w:before="200" w:after="0"/>
      </w:pPr>
      <w:r>
        <w:t xml:space="preserve"/>
      </w:r>
    </w:p>
    <w:p>
      <w:pPr>
        <w:pStyle w:val="Heading2"/>
        <w:spacing w:before="280" w:after="100"/>
      </w:pPr>
      <w:r>
        <w:rPr>
          <w:rFonts w:ascii="Arial" w:cs="Arial" w:eastAsia="Arial" w:hAnsi="Arial"/>
          <w:b/>
          <w:bCs/>
          <w:color w:val="2E75B6"/>
          <w:sz w:val="26"/>
          <w:szCs w:val="26"/>
        </w:rPr>
        <w:t xml:space="preserve">Tool 5 — iris_limit_breach_check</w:t>
      </w:r>
    </w:p>
    <w:p>
      <w:pPr>
        <w:spacing w:before="60" w:after="80"/>
      </w:pPr>
      <w:r>
        <w:rPr>
          <w:rFonts w:ascii="Arial" w:cs="Arial" w:eastAsia="Arial" w:hAnsi="Arial"/>
          <w:sz w:val="22"/>
          <w:szCs w:val="22"/>
        </w:rPr>
        <w:t xml:space="preserve">Check whether a specific counterparty is breaching any limits on a given date, across product, customer, or connection level.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Property</w:t>
            </w:r>
          </w:p>
        </w:tc>
        <w:tc>
          <w:tcPr>
            <w:tcW w:type="dxa" w:w="696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Value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Prompt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Is RBC breaching any limits today?</w:t>
            </w:r>
          </w:p>
        </w:tc>
      </w:tr>
      <w:tr>
        <w:tc>
          <w:tcPr>
            <w:tcW w:type="dxa" w:w="24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Required</w:t>
            </w:r>
          </w:p>
        </w:tc>
        <w:tc>
          <w:tcPr>
            <w:tcW w:type="dxa" w:w="69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date, counterparty_code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Optional</w:t>
            </w:r>
          </w:p>
        </w:tc>
        <w:tc>
          <w:tcPr>
            <w:tcW w:type="dxa" w:w="69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legal_entity, product, level (product/customer/connection)</w:t>
            </w:r>
          </w:p>
        </w:tc>
      </w:tr>
      <w:tr>
        <w:tc>
          <w:tcPr>
            <w:tcW w:type="dxa" w:w="24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Output</w:t>
            </w:r>
          </w:p>
        </w:tc>
        <w:tc>
          <w:tcPr>
            <w:tcW w:type="dxa" w:w="69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breaches[] (limit_key, counterparty, product, limit, exposure, overage, overage_pct), breach_count, date_used</w:t>
            </w:r>
          </w:p>
        </w:tc>
      </w:tr>
    </w:tbl>
    <w:p>
      <w:pPr>
        <w:spacing w:before="200" w:after="0"/>
      </w:pPr>
      <w:r>
        <w:t xml:space="preserve"/>
      </w:r>
    </w:p>
    <w:p>
      <w:pPr>
        <w:pStyle w:val="Heading2"/>
        <w:spacing w:before="280" w:after="100"/>
      </w:pPr>
      <w:r>
        <w:rPr>
          <w:rFonts w:ascii="Arial" w:cs="Arial" w:eastAsia="Arial" w:hAnsi="Arial"/>
          <w:b/>
          <w:bCs/>
          <w:color w:val="2E75B6"/>
          <w:sz w:val="26"/>
          <w:szCs w:val="26"/>
        </w:rPr>
        <w:t xml:space="preserve">Tool 6 — iris_exposure_trend</w:t>
      </w:r>
    </w:p>
    <w:p>
      <w:pPr>
        <w:spacing w:before="60" w:after="80"/>
      </w:pPr>
      <w:r>
        <w:rPr>
          <w:rFonts w:ascii="Arial" w:cs="Arial" w:eastAsia="Arial" w:hAnsi="Arial"/>
          <w:sz w:val="22"/>
          <w:szCs w:val="22"/>
        </w:rPr>
        <w:t xml:space="preserve">Track exposure changes for a specific counterparty across multiple snapshot dates. Used for trend and drift analysis.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Property</w:t>
            </w:r>
          </w:p>
        </w:tc>
        <w:tc>
          <w:tcPr>
            <w:tcW w:type="dxa" w:w="696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Value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Prompt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How has RBC's FX Forward exposure trended over the last 4 months?</w:t>
            </w:r>
          </w:p>
        </w:tc>
      </w:tr>
      <w:tr>
        <w:tc>
          <w:tcPr>
            <w:tcW w:type="dxa" w:w="24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Required</w:t>
            </w:r>
          </w:p>
        </w:tc>
        <w:tc>
          <w:tcPr>
            <w:tcW w:type="dxa" w:w="69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date_from, date_to, counterparty_code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Optional</w:t>
            </w:r>
          </w:p>
        </w:tc>
        <w:tc>
          <w:tcPr>
            <w:tcW w:type="dxa" w:w="69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legal_entity, product, level</w:t>
            </w:r>
          </w:p>
        </w:tc>
      </w:tr>
      <w:tr>
        <w:tc>
          <w:tcPr>
            <w:tcW w:type="dxa" w:w="24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Output</w:t>
            </w:r>
          </w:p>
        </w:tc>
        <w:tc>
          <w:tcPr>
            <w:tcW w:type="dxa" w:w="69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trend[] (date, limit_key, exposure, limit, headroom), delta_first_to_last, date_count</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Note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Queries each snapshot date independently — never interpolates</w:t>
            </w:r>
          </w:p>
        </w:tc>
      </w:tr>
    </w:tbl>
    <w:p>
      <w:pPr>
        <w:spacing w:before="200" w:after="0"/>
      </w:pPr>
      <w:r>
        <w:t xml:space="preserve"/>
      </w:r>
    </w:p>
    <w:p>
      <w:pPr>
        <w:pStyle w:val="Heading2"/>
        <w:spacing w:before="280" w:after="100"/>
      </w:pPr>
      <w:r>
        <w:rPr>
          <w:rFonts w:ascii="Arial" w:cs="Arial" w:eastAsia="Arial" w:hAnsi="Arial"/>
          <w:b/>
          <w:bCs/>
          <w:color w:val="2E75B6"/>
          <w:sz w:val="26"/>
          <w:szCs w:val="26"/>
        </w:rPr>
        <w:t xml:space="preserve">Tool 7 — iris_multi_counterparty_comparison</w:t>
      </w:r>
    </w:p>
    <w:p>
      <w:pPr>
        <w:spacing w:before="60" w:after="80"/>
      </w:pPr>
      <w:r>
        <w:rPr>
          <w:rFonts w:ascii="Arial" w:cs="Arial" w:eastAsia="Arial" w:hAnsi="Arial"/>
          <w:sz w:val="22"/>
          <w:szCs w:val="22"/>
        </w:rPr>
        <w:t xml:space="preserve">Compare two or more counterparties side by side on limits, exposure, and headroom. Supports grouping by rating, country, legal entity, or product.</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Property</w:t>
            </w:r>
          </w:p>
        </w:tc>
        <w:tc>
          <w:tcPr>
            <w:tcW w:type="dxa" w:w="696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Value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Prompt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Compare RBC, TD, and BMO exposure by product as of latest date</w:t>
            </w:r>
          </w:p>
        </w:tc>
      </w:tr>
      <w:tr>
        <w:tc>
          <w:tcPr>
            <w:tcW w:type="dxa" w:w="24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Required</w:t>
            </w:r>
          </w:p>
        </w:tc>
        <w:tc>
          <w:tcPr>
            <w:tcW w:type="dxa" w:w="69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date, counterparty_codes[] (2 or more)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Optional</w:t>
            </w:r>
          </w:p>
        </w:tc>
        <w:tc>
          <w:tcPr>
            <w:tcW w:type="dxa" w:w="69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legal_entity, product, country, internal_rating, group_by (rating/country/legal_entity/product)</w:t>
            </w:r>
          </w:p>
        </w:tc>
      </w:tr>
      <w:tr>
        <w:tc>
          <w:tcPr>
            <w:tcW w:type="dxa" w:w="24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Output</w:t>
            </w:r>
          </w:p>
        </w:tc>
        <w:tc>
          <w:tcPr>
            <w:tcW w:type="dxa" w:w="69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comparison[] (limit_key, counterparty, rating, country, product, limit, exposure, headroom, utilization_pct), date_used</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Note</w:t>
            </w:r>
          </w:p>
        </w:tc>
        <w:tc>
          <w:tcPr>
            <w:tcW w:type="dxa" w:w="69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group_by controls the pivot dimension for the comparison</w:t>
            </w:r>
          </w:p>
        </w:tc>
      </w:tr>
    </w:tbl>
    <w:p>
      <w:pPr>
        <w:spacing w:before="200" w:after="0"/>
      </w:pPr>
      <w:r>
        <w:t xml:space="preserve"/>
      </w:r>
    </w:p>
    <w:p>
      <w:pPr>
        <w:pStyle w:val="Heading2"/>
        <w:spacing w:before="280" w:after="100"/>
      </w:pPr>
      <w:r>
        <w:rPr>
          <w:rFonts w:ascii="Arial" w:cs="Arial" w:eastAsia="Arial" w:hAnsi="Arial"/>
          <w:b/>
          <w:bCs/>
          <w:color w:val="2E75B6"/>
          <w:sz w:val="26"/>
          <w:szCs w:val="26"/>
        </w:rPr>
        <w:t xml:space="preserve">Tool 8 — iris_portfolio_breach_scan</w:t>
      </w:r>
    </w:p>
    <w:p>
      <w:pPr>
        <w:spacing w:before="60" w:after="80"/>
      </w:pPr>
      <w:r>
        <w:rPr>
          <w:rFonts w:ascii="Arial" w:cs="Arial" w:eastAsia="Arial" w:hAnsi="Arial"/>
          <w:sz w:val="22"/>
          <w:szCs w:val="22"/>
        </w:rPr>
        <w:t xml:space="preserve">Portfolio-wide scan — returns ALL limit records in breach across the entire book on a given date. No counterparty_code required. min_overage is MANDATORY to prevent full-book dumps.</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FCCCC" w:val="clear"/>
            <w:tcMar>
              <w:top w:type="dxa" w:w="140"/>
              <w:left w:type="dxa" w:w="200"/>
              <w:bottom w:type="dxa" w:w="140"/>
              <w:right w:type="dxa" w:w="200"/>
            </w:tcMar>
          </w:tcPr>
          <w:p>
            <w:r>
              <w:rPr>
                <w:rFonts w:ascii="Arial" w:cs="Arial" w:eastAsia="Arial" w:hAnsi="Arial"/>
                <w:b/>
                <w:bCs/>
                <w:color w:val="9C0006"/>
                <w:sz w:val="22"/>
                <w:szCs w:val="22"/>
              </w:rPr>
              <w:t xml:space="preserve">⚠  min_overage is REQUIRED:  </w:t>
            </w:r>
            <w:r>
              <w:rPr>
                <w:rFonts w:ascii="Arial" w:cs="Arial" w:eastAsia="Arial" w:hAnsi="Arial"/>
                <w:color w:val="9C0006"/>
                <w:sz w:val="22"/>
                <w:szCs w:val="22"/>
              </w:rPr>
              <w:t xml:space="preserve">The agent must always ask the user for a breach threshold before calling this tool. Accepting min_overage=0 would return every $1 overage across 5,000 counterparties. The parameter is required in the inputSchema.</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Property</w:t>
            </w:r>
          </w:p>
        </w:tc>
        <w:tc>
          <w:tcPr>
            <w:tcW w:type="dxa" w:w="696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Value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Prompt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Show me all limits in breach over $1M today under BCMC</w:t>
            </w:r>
          </w:p>
        </w:tc>
      </w:tr>
      <w:tr>
        <w:tc>
          <w:tcPr>
            <w:tcW w:type="dxa" w:w="24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Required</w:t>
            </w:r>
          </w:p>
        </w:tc>
        <w:tc>
          <w:tcPr>
            <w:tcW w:type="dxa" w:w="69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date, min_overage (must be required in schema — no default)</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Optional</w:t>
            </w:r>
          </w:p>
        </w:tc>
        <w:tc>
          <w:tcPr>
            <w:tcW w:type="dxa" w:w="69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legal_entity, country, internal_rating, level</w:t>
            </w:r>
          </w:p>
        </w:tc>
      </w:tr>
      <w:tr>
        <w:tc>
          <w:tcPr>
            <w:tcW w:type="dxa" w:w="24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No counterparty_code</w:t>
            </w:r>
          </w:p>
        </w:tc>
        <w:tc>
          <w:tcPr>
            <w:tcW w:type="dxa" w:w="69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Portfolio-wide by design — intentional exception to the parameter rule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Output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breaches[] (limit_key, counterparty, rating, country, legal_entity, product, limit, exposure, overage, overage_pct), total_breaches, total_overage, date_used</w:t>
            </w:r>
          </w:p>
        </w:tc>
      </w:tr>
    </w:tbl>
    <w:p>
      <w:pPr>
        <w:spacing w:before="200" w:after="0"/>
      </w:pPr>
      <w:r>
        <w:t xml:space="preserve"/>
      </w:r>
    </w:p>
    <w:p>
      <w:pPr>
        <w:pStyle w:val="Heading2"/>
        <w:spacing w:before="280" w:after="100"/>
      </w:pPr>
      <w:r>
        <w:rPr>
          <w:rFonts w:ascii="Arial" w:cs="Arial" w:eastAsia="Arial" w:hAnsi="Arial"/>
          <w:b/>
          <w:bCs/>
          <w:color w:val="2E75B6"/>
          <w:sz w:val="26"/>
          <w:szCs w:val="26"/>
        </w:rPr>
        <w:t xml:space="preserve">Tool 9 — iris_rating_screen</w:t>
      </w:r>
    </w:p>
    <w:p>
      <w:pPr>
        <w:spacing w:before="60" w:after="80"/>
      </w:pPr>
      <w:r>
        <w:rPr>
          <w:rFonts w:ascii="Arial" w:cs="Arial" w:eastAsia="Arial" w:hAnsi="Arial"/>
          <w:sz w:val="22"/>
          <w:szCs w:val="22"/>
        </w:rPr>
        <w:t xml:space="preserve">Portfolio-wide screen — filter and rank counterparties by internal rating band, country rating, or minimum exposure level.</w:t>
      </w:r>
    </w:p>
    <w:p>
      <w:pPr>
        <w:spacing w:before="6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Property</w:t>
            </w:r>
          </w:p>
        </w:tc>
        <w:tc>
          <w:tcPr>
            <w:tcW w:type="dxa" w:w="696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Value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Prompt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Show all counterparties with internal rating below 5 and exposure over $50M</w:t>
            </w:r>
          </w:p>
        </w:tc>
      </w:tr>
      <w:tr>
        <w:tc>
          <w:tcPr>
            <w:tcW w:type="dxa" w:w="24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Required</w:t>
            </w:r>
          </w:p>
        </w:tc>
        <w:tc>
          <w:tcPr>
            <w:tcW w:type="dxa" w:w="69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date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Optional</w:t>
            </w:r>
          </w:p>
        </w:tc>
        <w:tc>
          <w:tcPr>
            <w:tcW w:type="dxa" w:w="69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min_rating, max_rating, country_rating, legal_entity, country, min_exposure</w:t>
            </w:r>
          </w:p>
        </w:tc>
      </w:tr>
      <w:tr>
        <w:tc>
          <w:tcPr>
            <w:tcW w:type="dxa" w:w="24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No counterparty_code</w:t>
            </w:r>
          </w:p>
        </w:tc>
        <w:tc>
          <w:tcPr>
            <w:tcW w:type="dxa" w:w="69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Screening by design — intentional exception to the parameter rule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Output</w:t>
            </w:r>
          </w:p>
        </w:tc>
        <w:tc>
          <w:tcPr>
            <w:tcW w:type="dxa" w:w="69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counterparties[] (limit_key, name, code, rating, country, exposure, headroom), count, date_used</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280"/>
              <w:bottom w:type="dxa" w:w="200"/>
              <w:right w:type="dxa" w:w="280"/>
            </w:tcMar>
          </w:tcPr>
          <w:p>
            <w:r>
              <w:rPr>
                <w:rFonts w:ascii="Arial" w:cs="Arial" w:eastAsia="Arial" w:hAnsi="Arial"/>
                <w:b/>
                <w:bCs/>
                <w:color w:val="8899BB"/>
                <w:sz w:val="56"/>
                <w:szCs w:val="56"/>
              </w:rPr>
              <w:t xml:space="preserve">04</w:t>
            </w:r>
            <w:r>
              <w:rPr>
                <w:rFonts w:ascii="Arial" w:cs="Arial" w:eastAsia="Arial" w:hAnsi="Arial"/>
                <w:b/>
                <w:bCs/>
                <w:color w:val="FFFFFF"/>
                <w:sz w:val="32"/>
                <w:szCs w:val="32"/>
              </w:rPr>
              <w:t xml:space="preserve">   Implementation Requirements</w:t>
            </w:r>
          </w:p>
          <w:p>
            <w:r>
              <w:rPr>
                <w:rFonts w:ascii="Arial" w:cs="Arial" w:eastAsia="Arial" w:hAnsi="Arial"/>
                <w:i/>
                <w:iCs/>
                <w:color w:val="AACFEE"/>
                <w:sz w:val="20"/>
                <w:szCs w:val="20"/>
              </w:rPr>
              <w:t xml:space="preserve">Python pattern, caching, config, error handling</w:t>
            </w:r>
          </w:p>
        </w:tc>
      </w:tr>
    </w:tbl>
    <w:p>
      <w:pPr>
        <w:spacing w:before="240" w:after="0"/>
      </w:pPr>
      <w:r>
        <w:t xml:space="preserve"/>
      </w:r>
    </w:p>
    <w:p>
      <w:pPr>
        <w:pStyle w:val="Heading2"/>
        <w:spacing w:before="280" w:after="100"/>
      </w:pPr>
      <w:r>
        <w:rPr>
          <w:rFonts w:ascii="Arial" w:cs="Arial" w:eastAsia="Arial" w:hAnsi="Arial"/>
          <w:b/>
          <w:bCs/>
          <w:color w:val="2E75B6"/>
          <w:sz w:val="26"/>
          <w:szCs w:val="26"/>
        </w:rPr>
        <w:t xml:space="preserve">4.1  Python Class Pattern (Pattern A — BaseMCPTool)</w:t>
      </w:r>
    </w:p>
    <w:p>
      <w:pPr>
        <w:spacing w:before="60" w:after="80"/>
      </w:pPr>
      <w:r>
        <w:rPr>
          <w:rFonts w:ascii="Arial" w:cs="Arial" w:eastAsia="Arial" w:hAnsi="Arial"/>
          <w:sz w:val="22"/>
          <w:szCs w:val="22"/>
        </w:rPr>
        <w:t xml:space="preserve">All 9 tools must be implemented as Python classes in a single file: sajha/tools/impl/iris_ccr_tools.py. Each class extends BaseMCPTool from sajha.tools.base_mcp_tool.</w:t>
      </w:r>
    </w:p>
    <w:p>
      <w:pPr>
        <w:spacing w:before="80" w:after="0"/>
      </w:pPr>
      <w:r>
        <w:t xml:space="preserve"/>
      </w:r>
    </w:p>
    <w:p>
      <w:pPr>
        <w:shd w:fill="F0F0F0" w:val="clear"/>
        <w:spacing w:before="40" w:after="40"/>
        <w:ind w:left="360"/>
      </w:pPr>
      <w:r>
        <w:rPr>
          <w:rFonts w:ascii="Courier New" w:cs="Courier New" w:eastAsia="Courier New" w:hAnsi="Courier New"/>
          <w:color w:val="333333"/>
          <w:sz w:val="19"/>
          <w:szCs w:val="19"/>
        </w:rPr>
        <w:t xml:space="preserve">from sajha.tools.base_mcp_tool import BaseMCPTool</w:t>
      </w:r>
    </w:p>
    <w:p>
      <w:pPr>
        <w:shd w:fill="F0F0F0" w:val="clear"/>
        <w:spacing w:before="40" w:after="40"/>
        <w:ind w:left="360"/>
      </w:pPr>
      <w:r>
        <w:rPr>
          <w:rFonts w:ascii="Courier New" w:cs="Courier New" w:eastAsia="Courier New" w:hAnsi="Courier New"/>
          <w:color w:val="333333"/>
          <w:sz w:val="19"/>
          <w:szCs w:val="19"/>
        </w:rPr>
        <w:t xml:space="preserve"/>
      </w:r>
    </w:p>
    <w:p>
      <w:pPr>
        <w:shd w:fill="F0F0F0" w:val="clear"/>
        <w:spacing w:before="40" w:after="40"/>
        <w:ind w:left="360"/>
      </w:pPr>
      <w:r>
        <w:rPr>
          <w:rFonts w:ascii="Courier New" w:cs="Courier New" w:eastAsia="Courier New" w:hAnsi="Courier New"/>
          <w:color w:val="333333"/>
          <w:sz w:val="19"/>
          <w:szCs w:val="19"/>
        </w:rPr>
        <w:t xml:space="preserve">class IrisBaseTool(BaseMCPTool):</w:t>
      </w:r>
    </w:p>
    <w:p>
      <w:pPr>
        <w:shd w:fill="F0F0F0" w:val="clear"/>
        <w:spacing w:before="40" w:after="40"/>
        <w:ind w:left="360"/>
      </w:pPr>
      <w:r>
        <w:rPr>
          <w:rFonts w:ascii="Courier New" w:cs="Courier New" w:eastAsia="Courier New" w:hAnsi="Courier New"/>
          <w:color w:val="333333"/>
          <w:sz w:val="19"/>
          <w:szCs w:val="19"/>
        </w:rPr>
        <w:t xml:space="preserve">    """Shared base for all IRIS tools. Loads CSV once at module level."""</w:t>
      </w:r>
    </w:p>
    <w:p>
      <w:pPr>
        <w:shd w:fill="F0F0F0" w:val="clear"/>
        <w:spacing w:before="40" w:after="40"/>
        <w:ind w:left="360"/>
      </w:pPr>
      <w:r>
        <w:rPr>
          <w:rFonts w:ascii="Courier New" w:cs="Courier New" w:eastAsia="Courier New" w:hAnsi="Courier New"/>
          <w:color w:val="333333"/>
          <w:sz w:val="19"/>
          <w:szCs w:val="19"/>
        </w:rPr>
        <w:t xml:space="preserve">    _df = None  # Module-level cache — load once, share across all tools</w:t>
      </w:r>
    </w:p>
    <w:p>
      <w:pPr>
        <w:shd w:fill="F0F0F0" w:val="clear"/>
        <w:spacing w:before="40" w:after="40"/>
        <w:ind w:left="360"/>
      </w:pPr>
      <w:r>
        <w:rPr>
          <w:rFonts w:ascii="Courier New" w:cs="Courier New" w:eastAsia="Courier New" w:hAnsi="Courier New"/>
          <w:color w:val="333333"/>
          <w:sz w:val="19"/>
          <w:szCs w:val="19"/>
        </w:rPr>
        <w:t xml:space="preserve"/>
      </w:r>
    </w:p>
    <w:p>
      <w:pPr>
        <w:shd w:fill="F0F0F0" w:val="clear"/>
        <w:spacing w:before="40" w:after="40"/>
        <w:ind w:left="360"/>
      </w:pPr>
      <w:r>
        <w:rPr>
          <w:rFonts w:ascii="Courier New" w:cs="Courier New" w:eastAsia="Courier New" w:hAnsi="Courier New"/>
          <w:color w:val="333333"/>
          <w:sz w:val="19"/>
          <w:szCs w:val="19"/>
        </w:rPr>
        <w:t xml:space="preserve">    @classmethod</w:t>
      </w:r>
    </w:p>
    <w:p>
      <w:pPr>
        <w:shd w:fill="F0F0F0" w:val="clear"/>
        <w:spacing w:before="40" w:after="40"/>
        <w:ind w:left="360"/>
      </w:pPr>
      <w:r>
        <w:rPr>
          <w:rFonts w:ascii="Courier New" w:cs="Courier New" w:eastAsia="Courier New" w:hAnsi="Courier New"/>
          <w:color w:val="333333"/>
          <w:sz w:val="19"/>
          <w:szCs w:val="19"/>
        </w:rPr>
        <w:t xml:space="preserve">    def _get_df(cls):</w:t>
      </w:r>
    </w:p>
    <w:p>
      <w:pPr>
        <w:shd w:fill="F0F0F0" w:val="clear"/>
        <w:spacing w:before="40" w:after="40"/>
        <w:ind w:left="360"/>
      </w:pPr>
      <w:r>
        <w:rPr>
          <w:rFonts w:ascii="Courier New" w:cs="Courier New" w:eastAsia="Courier New" w:hAnsi="Courier New"/>
          <w:color w:val="333333"/>
          <w:sz w:val="19"/>
          <w:szCs w:val="19"/>
        </w:rPr>
        <w:t xml:space="preserve">        if cls._df is None:</w:t>
      </w:r>
    </w:p>
    <w:p>
      <w:pPr>
        <w:shd w:fill="F0F0F0" w:val="clear"/>
        <w:spacing w:before="40" w:after="40"/>
        <w:ind w:left="360"/>
      </w:pPr>
      <w:r>
        <w:rPr>
          <w:rFonts w:ascii="Courier New" w:cs="Courier New" w:eastAsia="Courier New" w:hAnsi="Courier New"/>
          <w:color w:val="333333"/>
          <w:sz w:val="19"/>
          <w:szCs w:val="19"/>
        </w:rPr>
        <w:t xml:space="preserve">            path = cls._get_config('data.iris_combined_csv')</w:t>
      </w:r>
    </w:p>
    <w:p>
      <w:pPr>
        <w:shd w:fill="F0F0F0" w:val="clear"/>
        <w:spacing w:before="40" w:after="40"/>
        <w:ind w:left="360"/>
      </w:pPr>
      <w:r>
        <w:rPr>
          <w:rFonts w:ascii="Courier New" w:cs="Courier New" w:eastAsia="Courier New" w:hAnsi="Courier New"/>
          <w:color w:val="333333"/>
          <w:sz w:val="19"/>
          <w:szCs w:val="19"/>
        </w:rPr>
        <w:t xml:space="preserve">            cls._df = pd.read_csv(path, encoding='latin1', low_memory=False)</w:t>
      </w:r>
    </w:p>
    <w:p>
      <w:pPr>
        <w:shd w:fill="F0F0F0" w:val="clear"/>
        <w:spacing w:before="40" w:after="40"/>
        <w:ind w:left="360"/>
      </w:pPr>
      <w:r>
        <w:rPr>
          <w:rFonts w:ascii="Courier New" w:cs="Courier New" w:eastAsia="Courier New" w:hAnsi="Courier New"/>
          <w:color w:val="333333"/>
          <w:sz w:val="19"/>
          <w:szCs w:val="19"/>
        </w:rPr>
        <w:t xml:space="preserve">            cls._df['Date'] = pd.to_datetime(cls._df['Date']).dt.date.astype(str)</w:t>
      </w:r>
    </w:p>
    <w:p>
      <w:pPr>
        <w:shd w:fill="F0F0F0" w:val="clear"/>
        <w:spacing w:before="40" w:after="40"/>
        <w:ind w:left="360"/>
      </w:pPr>
      <w:r>
        <w:rPr>
          <w:rFonts w:ascii="Courier New" w:cs="Courier New" w:eastAsia="Courier New" w:hAnsi="Courier New"/>
          <w:color w:val="333333"/>
          <w:sz w:val="19"/>
          <w:szCs w:val="19"/>
        </w:rPr>
        <w:t xml:space="preserve">        return cls._df</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7" w:val="clear"/>
            <w:tcMar>
              <w:top w:type="dxa" w:w="140"/>
              <w:left w:type="dxa" w:w="200"/>
              <w:bottom w:type="dxa" w:w="140"/>
              <w:right w:type="dxa" w:w="200"/>
            </w:tcMar>
          </w:tcPr>
          <w:p>
            <w:r>
              <w:rPr>
                <w:rFonts w:ascii="Arial" w:cs="Arial" w:eastAsia="Arial" w:hAnsi="Arial"/>
                <w:b/>
                <w:bCs/>
                <w:color w:val="1F3864"/>
                <w:sz w:val="22"/>
                <w:szCs w:val="22"/>
              </w:rPr>
              <w:t xml:space="preserve">Caching rule:  </w:t>
            </w:r>
            <w:r>
              <w:rPr>
                <w:rFonts w:ascii="Arial" w:cs="Arial" w:eastAsia="Arial" w:hAnsi="Arial"/>
                <w:color w:val="1F3864"/>
                <w:sz w:val="22"/>
                <w:szCs w:val="22"/>
              </w:rPr>
              <w:t xml:space="preserve">The CSV is loaded ONCE at module level and shared across all tool instances. Never reload per call. Memory footprint is ~200-400MB for the full production file.</w:t>
            </w:r>
          </w:p>
        </w:tc>
      </w:tr>
    </w:tbl>
    <w:p>
      <w:pPr>
        <w:spacing w:before="200" w:after="0"/>
      </w:pPr>
      <w:r>
        <w:t xml:space="preserve"/>
      </w:r>
    </w:p>
    <w:p>
      <w:pPr>
        <w:pStyle w:val="Heading2"/>
        <w:spacing w:before="280" w:after="100"/>
      </w:pPr>
      <w:r>
        <w:rPr>
          <w:rFonts w:ascii="Arial" w:cs="Arial" w:eastAsia="Arial" w:hAnsi="Arial"/>
          <w:b/>
          <w:bCs/>
          <w:color w:val="2E75B6"/>
          <w:sz w:val="26"/>
          <w:szCs w:val="26"/>
        </w:rPr>
        <w:t xml:space="preserve">4.2  NaN / None Handling</w:t>
      </w:r>
    </w:p>
    <w:p>
      <w:pPr>
        <w:spacing w:before="60" w:after="80"/>
      </w:pPr>
      <w:r>
        <w:rPr>
          <w:rFonts w:ascii="Arial" w:cs="Arial" w:eastAsia="Arial" w:hAnsi="Arial"/>
          <w:sz w:val="22"/>
          <w:szCs w:val="22"/>
        </w:rPr>
        <w:t xml:space="preserve">Pandas NaN values must be converted to None before returning from any tool. JSON serialization of NaN will crash. Apply this to every output dict.</w:t>
      </w:r>
    </w:p>
    <w:p>
      <w:pPr>
        <w:spacing w:before="80" w:after="0"/>
      </w:pPr>
      <w:r>
        <w:t xml:space="preserve"/>
      </w:r>
    </w:p>
    <w:p>
      <w:pPr>
        <w:shd w:fill="F0F0F0" w:val="clear"/>
        <w:spacing w:before="40" w:after="40"/>
        <w:ind w:left="360"/>
      </w:pPr>
      <w:r>
        <w:rPr>
          <w:rFonts w:ascii="Courier New" w:cs="Courier New" w:eastAsia="Courier New" w:hAnsi="Courier New"/>
          <w:color w:val="333333"/>
          <w:sz w:val="19"/>
          <w:szCs w:val="19"/>
        </w:rPr>
        <w:t xml:space="preserve">import math</w:t>
      </w:r>
    </w:p>
    <w:p>
      <w:pPr>
        <w:shd w:fill="F0F0F0" w:val="clear"/>
        <w:spacing w:before="40" w:after="40"/>
        <w:ind w:left="360"/>
      </w:pPr>
      <w:r>
        <w:rPr>
          <w:rFonts w:ascii="Courier New" w:cs="Courier New" w:eastAsia="Courier New" w:hAnsi="Courier New"/>
          <w:color w:val="333333"/>
          <w:sz w:val="19"/>
          <w:szCs w:val="19"/>
        </w:rPr>
        <w:t xml:space="preserve">def clean(val):</w:t>
      </w:r>
    </w:p>
    <w:p>
      <w:pPr>
        <w:shd w:fill="F0F0F0" w:val="clear"/>
        <w:spacing w:before="40" w:after="40"/>
        <w:ind w:left="360"/>
      </w:pPr>
      <w:r>
        <w:rPr>
          <w:rFonts w:ascii="Courier New" w:cs="Courier New" w:eastAsia="Courier New" w:hAnsi="Courier New"/>
          <w:color w:val="333333"/>
          <w:sz w:val="19"/>
          <w:szCs w:val="19"/>
        </w:rPr>
        <w:t xml:space="preserve">    if isinstance(val, float) and math.isnan(val): return None</w:t>
      </w:r>
    </w:p>
    <w:p>
      <w:pPr>
        <w:shd w:fill="F0F0F0" w:val="clear"/>
        <w:spacing w:before="40" w:after="40"/>
        <w:ind w:left="360"/>
      </w:pPr>
      <w:r>
        <w:rPr>
          <w:rFonts w:ascii="Courier New" w:cs="Courier New" w:eastAsia="Courier New" w:hAnsi="Courier New"/>
          <w:color w:val="333333"/>
          <w:sz w:val="19"/>
          <w:szCs w:val="19"/>
        </w:rPr>
        <w:t xml:space="preserve">    return val</w:t>
      </w:r>
    </w:p>
    <w:p>
      <w:pPr>
        <w:shd w:fill="F0F0F0" w:val="clear"/>
        <w:spacing w:before="40" w:after="40"/>
        <w:ind w:left="360"/>
      </w:pPr>
      <w:r>
        <w:rPr>
          <w:rFonts w:ascii="Courier New" w:cs="Courier New" w:eastAsia="Courier New" w:hAnsi="Courier New"/>
          <w:color w:val="333333"/>
          <w:sz w:val="19"/>
          <w:szCs w:val="19"/>
        </w:rPr>
        <w:t xml:space="preserve"/>
      </w:r>
    </w:p>
    <w:p>
      <w:pPr>
        <w:shd w:fill="F0F0F0" w:val="clear"/>
        <w:spacing w:before="40" w:after="40"/>
        <w:ind w:left="360"/>
      </w:pPr>
      <w:r>
        <w:rPr>
          <w:rFonts w:ascii="Courier New" w:cs="Courier New" w:eastAsia="Courier New" w:hAnsi="Courier New"/>
          <w:color w:val="333333"/>
          <w:sz w:val="19"/>
          <w:szCs w:val="19"/>
        </w:rPr>
        <w:t xml:space="preserve"># Apply to all rows before returning:</w:t>
      </w:r>
    </w:p>
    <w:p>
      <w:pPr>
        <w:shd w:fill="F0F0F0" w:val="clear"/>
        <w:spacing w:before="40" w:after="40"/>
        <w:ind w:left="360"/>
      </w:pPr>
      <w:r>
        <w:rPr>
          <w:rFonts w:ascii="Courier New" w:cs="Courier New" w:eastAsia="Courier New" w:hAnsi="Courier New"/>
          <w:color w:val="333333"/>
          <w:sz w:val="19"/>
          <w:szCs w:val="19"/>
        </w:rPr>
        <w:t xml:space="preserve">rows = [{k: clean(v) for k,v in row.items()} for row in df.to_dict('records')]</w:t>
      </w:r>
    </w:p>
    <w:p>
      <w:pPr>
        <w:spacing w:before="200" w:after="0"/>
      </w:pPr>
      <w:r>
        <w:t xml:space="preserve"/>
      </w:r>
    </w:p>
    <w:p>
      <w:pPr>
        <w:pStyle w:val="Heading2"/>
        <w:spacing w:before="280" w:after="100"/>
      </w:pPr>
      <w:r>
        <w:rPr>
          <w:rFonts w:ascii="Arial" w:cs="Arial" w:eastAsia="Arial" w:hAnsi="Arial"/>
          <w:b/>
          <w:bCs/>
          <w:color w:val="2E75B6"/>
          <w:sz w:val="26"/>
          <w:szCs w:val="26"/>
        </w:rPr>
        <w:t xml:space="preserve">4.3  limit_key Construction</w:t>
      </w:r>
    </w:p>
    <w:p>
      <w:pPr>
        <w:spacing w:before="60" w:after="80"/>
      </w:pPr>
      <w:r>
        <w:rPr>
          <w:rFonts w:ascii="Arial" w:cs="Arial" w:eastAsia="Arial" w:hAnsi="Arial"/>
          <w:sz w:val="22"/>
          <w:szCs w:val="22"/>
        </w:rPr>
        <w:t xml:space="preserve">Build limit_key consistently in every tool. Use a helper function in IrisBaseTool.</w:t>
      </w:r>
    </w:p>
    <w:p>
      <w:pPr>
        <w:spacing w:before="80" w:after="0"/>
      </w:pPr>
      <w:r>
        <w:t xml:space="preserve"/>
      </w:r>
    </w:p>
    <w:p>
      <w:pPr>
        <w:shd w:fill="F0F0F0" w:val="clear"/>
        <w:spacing w:before="40" w:after="40"/>
        <w:ind w:left="360"/>
      </w:pPr>
      <w:r>
        <w:rPr>
          <w:rFonts w:ascii="Courier New" w:cs="Courier New" w:eastAsia="Courier New" w:hAnsi="Courier New"/>
          <w:color w:val="333333"/>
          <w:sz w:val="19"/>
          <w:szCs w:val="19"/>
        </w:rPr>
        <w:t xml:space="preserve">def _make_limit_key(self, row):</w:t>
      </w:r>
    </w:p>
    <w:p>
      <w:pPr>
        <w:shd w:fill="F0F0F0" w:val="clear"/>
        <w:spacing w:before="40" w:after="40"/>
        <w:ind w:left="360"/>
      </w:pPr>
      <w:r>
        <w:rPr>
          <w:rFonts w:ascii="Courier New" w:cs="Courier New" w:eastAsia="Courier New" w:hAnsi="Courier New"/>
          <w:color w:val="333333"/>
          <w:sz w:val="19"/>
          <w:szCs w:val="19"/>
        </w:rPr>
        <w:t xml:space="preserve">    code = row.get('Customer Code','')</w:t>
      </w:r>
    </w:p>
    <w:p>
      <w:pPr>
        <w:shd w:fill="F0F0F0" w:val="clear"/>
        <w:spacing w:before="40" w:after="40"/>
        <w:ind w:left="360"/>
      </w:pPr>
      <w:r>
        <w:rPr>
          <w:rFonts w:ascii="Courier New" w:cs="Courier New" w:eastAsia="Courier New" w:hAnsi="Courier New"/>
          <w:color w:val="333333"/>
          <w:sz w:val="19"/>
          <w:szCs w:val="19"/>
        </w:rPr>
        <w:t xml:space="preserve">    fid  = row.get('Facility ID','')</w:t>
      </w:r>
    </w:p>
    <w:p>
      <w:pPr>
        <w:shd w:fill="F0F0F0" w:val="clear"/>
        <w:spacing w:before="40" w:after="40"/>
        <w:ind w:left="360"/>
      </w:pPr>
      <w:r>
        <w:rPr>
          <w:rFonts w:ascii="Courier New" w:cs="Courier New" w:eastAsia="Courier New" w:hAnsi="Courier New"/>
          <w:color w:val="333333"/>
          <w:sz w:val="19"/>
          <w:szCs w:val="19"/>
        </w:rPr>
        <w:t xml:space="preserve">    le   = row.get('Legal Entity','')</w:t>
      </w:r>
    </w:p>
    <w:p>
      <w:pPr>
        <w:shd w:fill="F0F0F0" w:val="clear"/>
        <w:spacing w:before="40" w:after="40"/>
        <w:ind w:left="360"/>
      </w:pPr>
      <w:r>
        <w:rPr>
          <w:rFonts w:ascii="Courier New" w:cs="Courier New" w:eastAsia="Courier New" w:hAnsi="Courier New"/>
          <w:color w:val="333333"/>
          <w:sz w:val="19"/>
          <w:szCs w:val="19"/>
        </w:rPr>
        <w:t xml:space="preserve">    prod = row.get('Product','')</w:t>
      </w:r>
    </w:p>
    <w:p>
      <w:pPr>
        <w:shd w:fill="F0F0F0" w:val="clear"/>
        <w:spacing w:before="40" w:after="40"/>
        <w:ind w:left="360"/>
      </w:pPr>
      <w:r>
        <w:rPr>
          <w:rFonts w:ascii="Courier New" w:cs="Courier New" w:eastAsia="Courier New" w:hAnsi="Courier New"/>
          <w:color w:val="333333"/>
          <w:sz w:val="19"/>
          <w:szCs w:val="19"/>
        </w:rPr>
        <w:t xml:space="preserve">    return f'{code} / {fid} / {le} / {prod}'</w:t>
      </w:r>
    </w:p>
    <w:p>
      <w:pPr>
        <w:spacing w:before="200" w:after="0"/>
      </w:pPr>
      <w:r>
        <w:t xml:space="preserve"/>
      </w:r>
    </w:p>
    <w:p>
      <w:pPr>
        <w:pStyle w:val="Heading2"/>
        <w:spacing w:before="280" w:after="100"/>
      </w:pPr>
      <w:r>
        <w:rPr>
          <w:rFonts w:ascii="Arial" w:cs="Arial" w:eastAsia="Arial" w:hAnsi="Arial"/>
          <w:b/>
          <w:bCs/>
          <w:color w:val="2E75B6"/>
          <w:sz w:val="26"/>
          <w:szCs w:val="26"/>
        </w:rPr>
        <w:t xml:space="preserve">4.4  Date Handling</w:t>
      </w:r>
    </w:p>
    <w:p>
      <w:pPr>
        <w:pStyle w:val="ListParagraph"/>
        <w:numPr>
          <w:ilvl w:val="0"/>
          <w:numId w:val="2"/>
        </w:numPr>
        <w:spacing w:before="40" w:after="40"/>
      </w:pPr>
      <w:r>
        <w:rPr>
          <w:rFonts w:ascii="Arial" w:cs="Arial" w:eastAsia="Arial" w:hAnsi="Arial"/>
          <w:sz w:val="22"/>
          <w:szCs w:val="22"/>
        </w:rPr>
        <w:t xml:space="preserve">Default date = latest available date (call _get_df()['Date'].max())</w:t>
      </w:r>
    </w:p>
    <w:p>
      <w:pPr>
        <w:pStyle w:val="ListParagraph"/>
        <w:numPr>
          <w:ilvl w:val="0"/>
          <w:numId w:val="2"/>
        </w:numPr>
        <w:spacing w:before="40" w:after="40"/>
      </w:pPr>
      <w:r>
        <w:rPr>
          <w:rFonts w:ascii="Arial" w:cs="Arial" w:eastAsia="Arial" w:hAnsi="Arial"/>
          <w:sz w:val="22"/>
          <w:szCs w:val="22"/>
        </w:rPr>
        <w:t xml:space="preserve">Accept ISO string format: YYYY-MM-DD</w:t>
      </w:r>
    </w:p>
    <w:p>
      <w:pPr>
        <w:pStyle w:val="ListParagraph"/>
        <w:numPr>
          <w:ilvl w:val="0"/>
          <w:numId w:val="2"/>
        </w:numPr>
        <w:spacing w:before="40" w:after="40"/>
      </w:pPr>
      <w:r>
        <w:rPr>
          <w:rFonts w:ascii="Arial" w:cs="Arial" w:eastAsia="Arial" w:hAnsi="Arial"/>
          <w:sz w:val="22"/>
          <w:szCs w:val="22"/>
        </w:rPr>
        <w:t xml:space="preserve">Validate that the requested date exists in the dataset; return clear error if not</w:t>
      </w:r>
    </w:p>
    <w:p>
      <w:pPr>
        <w:pStyle w:val="ListParagraph"/>
        <w:numPr>
          <w:ilvl w:val="0"/>
          <w:numId w:val="2"/>
        </w:numPr>
        <w:spacing w:before="40" w:after="40"/>
      </w:pPr>
      <w:r>
        <w:rPr>
          <w:rFonts w:ascii="Arial" w:cs="Arial" w:eastAsia="Arial" w:hAnsi="Arial"/>
          <w:sz w:val="22"/>
          <w:szCs w:val="22"/>
        </w:rPr>
        <w:t xml:space="preserve">For iris_exposure_trend: iterate over distinct dates between date_from and date_to that exist in the dataset — never interpolate</w:t>
      </w:r>
    </w:p>
    <w:p>
      <w:pPr>
        <w:spacing w:before="200" w:after="0"/>
      </w:pPr>
      <w:r>
        <w:t xml:space="preserve"/>
      </w:r>
    </w:p>
    <w:p>
      <w:pPr>
        <w:pStyle w:val="Heading2"/>
        <w:spacing w:before="280" w:after="100"/>
      </w:pPr>
      <w:r>
        <w:rPr>
          <w:rFonts w:ascii="Arial" w:cs="Arial" w:eastAsia="Arial" w:hAnsi="Arial"/>
          <w:b/>
          <w:bCs/>
          <w:color w:val="2E75B6"/>
          <w:sz w:val="26"/>
          <w:szCs w:val="26"/>
        </w:rPr>
        <w:t xml:space="preserve">4.5  Performance Rules</w:t>
      </w:r>
    </w:p>
    <w:p>
      <w:pPr>
        <w:pStyle w:val="ListParagraph"/>
        <w:numPr>
          <w:ilvl w:val="0"/>
          <w:numId w:val="2"/>
        </w:numPr>
        <w:spacing w:before="40" w:after="40"/>
      </w:pPr>
      <w:r>
        <w:rPr>
          <w:rFonts w:ascii="Arial" w:cs="Arial" w:eastAsia="Arial" w:hAnsi="Arial"/>
          <w:sz w:val="22"/>
          <w:szCs w:val="22"/>
        </w:rPr>
        <w:t xml:space="preserve">Always filter by Date first — this is the highest-cardinality partition</w:t>
      </w:r>
    </w:p>
    <w:p>
      <w:pPr>
        <w:pStyle w:val="ListParagraph"/>
        <w:numPr>
          <w:ilvl w:val="0"/>
          <w:numId w:val="2"/>
        </w:numPr>
        <w:spacing w:before="40" w:after="40"/>
      </w:pPr>
      <w:r>
        <w:rPr>
          <w:rFonts w:ascii="Arial" w:cs="Arial" w:eastAsia="Arial" w:hAnsi="Arial"/>
          <w:sz w:val="22"/>
          <w:szCs w:val="22"/>
        </w:rPr>
        <w:t xml:space="preserve">Then filter by Customer Code (counterparty_code) for single-counterparty tools</w:t>
      </w:r>
    </w:p>
    <w:p>
      <w:pPr>
        <w:pStyle w:val="ListParagraph"/>
        <w:numPr>
          <w:ilvl w:val="0"/>
          <w:numId w:val="2"/>
        </w:numPr>
        <w:spacing w:before="40" w:after="40"/>
      </w:pPr>
      <w:r>
        <w:rPr>
          <w:rFonts w:ascii="Arial" w:cs="Arial" w:eastAsia="Arial" w:hAnsi="Arial"/>
          <w:sz w:val="22"/>
          <w:szCs w:val="22"/>
        </w:rPr>
        <w:t xml:space="preserve">Apply remaining optional filters after the two mandatory filters</w:t>
      </w:r>
    </w:p>
    <w:p>
      <w:pPr>
        <w:pStyle w:val="ListParagraph"/>
        <w:numPr>
          <w:ilvl w:val="0"/>
          <w:numId w:val="2"/>
        </w:numPr>
        <w:spacing w:before="40" w:after="40"/>
      </w:pPr>
      <w:r>
        <w:rPr>
          <w:rFonts w:ascii="Arial" w:cs="Arial" w:eastAsia="Arial" w:hAnsi="Arial"/>
          <w:sz w:val="22"/>
          <w:szCs w:val="22"/>
        </w:rPr>
        <w:t xml:space="preserve">Use pandas boolean indexing, not loops</w:t>
      </w:r>
    </w:p>
    <w:p>
      <w:pPr>
        <w:pStyle w:val="ListParagraph"/>
        <w:numPr>
          <w:ilvl w:val="0"/>
          <w:numId w:val="2"/>
        </w:numPr>
        <w:spacing w:before="40" w:after="40"/>
      </w:pPr>
      <w:r>
        <w:rPr>
          <w:rFonts w:ascii="Arial" w:cs="Arial" w:eastAsia="Arial" w:hAnsi="Arial"/>
          <w:sz w:val="22"/>
          <w:szCs w:val="22"/>
        </w:rPr>
        <w:t xml:space="preserve">Target response time: &lt; 500ms per call on the full production dataset</w:t>
      </w:r>
    </w:p>
    <w:p>
      <w:pPr>
        <w:spacing w:before="200" w:after="0"/>
      </w:pPr>
      <w:r>
        <w:t xml:space="preserve"/>
      </w:r>
    </w:p>
    <w:p>
      <w:pPr>
        <w:pStyle w:val="Heading2"/>
        <w:spacing w:before="280" w:after="100"/>
      </w:pPr>
      <w:r>
        <w:rPr>
          <w:rFonts w:ascii="Arial" w:cs="Arial" w:eastAsia="Arial" w:hAnsi="Arial"/>
          <w:b/>
          <w:bCs/>
          <w:color w:val="2E75B6"/>
          <w:sz w:val="26"/>
          <w:szCs w:val="26"/>
        </w:rPr>
        <w:t xml:space="preserve">4.6  Input Validation</w:t>
      </w:r>
    </w:p>
    <w:p>
      <w:pPr>
        <w:pStyle w:val="ListParagraph"/>
        <w:numPr>
          <w:ilvl w:val="0"/>
          <w:numId w:val="2"/>
        </w:numPr>
        <w:spacing w:before="40" w:after="40"/>
      </w:pPr>
      <w:r>
        <w:rPr>
          <w:rFonts w:ascii="Arial" w:cs="Arial" w:eastAsia="Arial" w:hAnsi="Arial"/>
          <w:sz w:val="22"/>
          <w:szCs w:val="22"/>
        </w:rPr>
        <w:t xml:space="preserve">If a required parameter is missing, return a structured error (do not raise an unhandled exception)</w:t>
      </w:r>
    </w:p>
    <w:p>
      <w:pPr>
        <w:pStyle w:val="ListParagraph"/>
        <w:numPr>
          <w:ilvl w:val="0"/>
          <w:numId w:val="2"/>
        </w:numPr>
        <w:spacing w:before="40" w:after="40"/>
      </w:pPr>
      <w:r>
        <w:rPr>
          <w:rFonts w:ascii="Arial" w:cs="Arial" w:eastAsia="Arial" w:hAnsi="Arial"/>
          <w:sz w:val="22"/>
          <w:szCs w:val="22"/>
        </w:rPr>
        <w:t xml:space="preserve">Validate legal_entity against the enum list — return clear error with valid options if invalid</w:t>
      </w:r>
    </w:p>
    <w:p>
      <w:pPr>
        <w:pStyle w:val="ListParagraph"/>
        <w:numPr>
          <w:ilvl w:val="0"/>
          <w:numId w:val="2"/>
        </w:numPr>
        <w:spacing w:before="40" w:after="40"/>
      </w:pPr>
      <w:r>
        <w:rPr>
          <w:rFonts w:ascii="Arial" w:cs="Arial" w:eastAsia="Arial" w:hAnsi="Arial"/>
          <w:sz w:val="22"/>
          <w:szCs w:val="22"/>
        </w:rPr>
        <w:t xml:space="preserve">For iris_portfolio_breach_scan: min_overage must be present and numeric — reject if missing</w:t>
      </w:r>
    </w:p>
    <w:p>
      <w:pPr>
        <w:pStyle w:val="ListParagraph"/>
        <w:numPr>
          <w:ilvl w:val="0"/>
          <w:numId w:val="2"/>
        </w:numPr>
        <w:spacing w:before="40" w:after="40"/>
      </w:pPr>
      <w:r>
        <w:rPr>
          <w:rFonts w:ascii="Arial" w:cs="Arial" w:eastAsia="Arial" w:hAnsi="Arial"/>
          <w:sz w:val="22"/>
          <w:szCs w:val="22"/>
        </w:rPr>
        <w:t xml:space="preserve">For iris_multi_counterparty_comparison: counterparty_codes must be a list with 2+ entries</w:t>
      </w:r>
    </w:p>
    <w:p>
      <w:pPr>
        <w:spacing w:before="200" w:after="0"/>
      </w:pPr>
      <w:r>
        <w:t xml:space="preserve"/>
      </w:r>
    </w:p>
    <w:p>
      <w:pPr>
        <w:pStyle w:val="Heading2"/>
        <w:spacing w:before="280" w:after="100"/>
      </w:pPr>
      <w:r>
        <w:rPr>
          <w:rFonts w:ascii="Arial" w:cs="Arial" w:eastAsia="Arial" w:hAnsi="Arial"/>
          <w:b/>
          <w:bCs/>
          <w:color w:val="2E75B6"/>
          <w:sz w:val="26"/>
          <w:szCs w:val="26"/>
        </w:rPr>
        <w:t xml:space="preserve">4.7  Error Response Format</w:t>
      </w:r>
    </w:p>
    <w:p>
      <w:pPr>
        <w:spacing w:before="60" w:after="80"/>
      </w:pPr>
      <w:r>
        <w:rPr>
          <w:rFonts w:ascii="Arial" w:cs="Arial" w:eastAsia="Arial" w:hAnsi="Arial"/>
          <w:sz w:val="22"/>
          <w:szCs w:val="22"/>
        </w:rPr>
        <w:t xml:space="preserve">All errors must return a structured dict, not a raised exception, so the agent can process them gracefully.</w:t>
      </w:r>
    </w:p>
    <w:p>
      <w:pPr>
        <w:spacing w:before="80" w:after="0"/>
      </w:pPr>
      <w:r>
        <w:t xml:space="preserve"/>
      </w:r>
    </w:p>
    <w:p>
      <w:pPr>
        <w:shd w:fill="F0F0F0" w:val="clear"/>
        <w:spacing w:before="40" w:after="40"/>
        <w:ind w:left="360"/>
      </w:pPr>
      <w:r>
        <w:rPr>
          <w:rFonts w:ascii="Courier New" w:cs="Courier New" w:eastAsia="Courier New" w:hAnsi="Courier New"/>
          <w:color w:val="333333"/>
          <w:sz w:val="19"/>
          <w:szCs w:val="19"/>
        </w:rPr>
        <w:t xml:space="preserve">return {</w:t>
      </w:r>
    </w:p>
    <w:p>
      <w:pPr>
        <w:shd w:fill="F0F0F0" w:val="clear"/>
        <w:spacing w:before="40" w:after="40"/>
        <w:ind w:left="360"/>
      </w:pPr>
      <w:r>
        <w:rPr>
          <w:rFonts w:ascii="Courier New" w:cs="Courier New" w:eastAsia="Courier New" w:hAnsi="Courier New"/>
          <w:color w:val="333333"/>
          <w:sz w:val="19"/>
          <w:szCs w:val="19"/>
        </w:rPr>
        <w:t xml:space="preserve">    "error": True,</w:t>
      </w:r>
    </w:p>
    <w:p>
      <w:pPr>
        <w:shd w:fill="F0F0F0" w:val="clear"/>
        <w:spacing w:before="40" w:after="40"/>
        <w:ind w:left="360"/>
      </w:pPr>
      <w:r>
        <w:rPr>
          <w:rFonts w:ascii="Courier New" w:cs="Courier New" w:eastAsia="Courier New" w:hAnsi="Courier New"/>
          <w:color w:val="333333"/>
          <w:sz w:val="19"/>
          <w:szCs w:val="19"/>
        </w:rPr>
        <w:t xml:space="preserve">    "error_code": "INVALID_DATE" | "MISSING_PARAM" | "NO_DATA" | "INVALID_ENUM",</w:t>
      </w:r>
    </w:p>
    <w:p>
      <w:pPr>
        <w:shd w:fill="F0F0F0" w:val="clear"/>
        <w:spacing w:before="40" w:after="40"/>
        <w:ind w:left="360"/>
      </w:pPr>
      <w:r>
        <w:rPr>
          <w:rFonts w:ascii="Courier New" w:cs="Courier New" w:eastAsia="Courier New" w:hAnsi="Courier New"/>
          <w:color w:val="333333"/>
          <w:sz w:val="19"/>
          <w:szCs w:val="19"/>
        </w:rPr>
        <w:t xml:space="preserve">    "message": "Human-readable explanation",</w:t>
      </w:r>
    </w:p>
    <w:p>
      <w:pPr>
        <w:shd w:fill="F0F0F0" w:val="clear"/>
        <w:spacing w:before="40" w:after="40"/>
        <w:ind w:left="360"/>
      </w:pPr>
      <w:r>
        <w:rPr>
          <w:rFonts w:ascii="Courier New" w:cs="Courier New" w:eastAsia="Courier New" w:hAnsi="Courier New"/>
          <w:color w:val="333333"/>
          <w:sz w:val="19"/>
          <w:szCs w:val="19"/>
        </w:rPr>
        <w:t xml:space="preserve">    "valid_options": [...]  # for enum validation errors</w:t>
      </w:r>
    </w:p>
    <w:p>
      <w:pPr>
        <w:shd w:fill="F0F0F0" w:val="clear"/>
        <w:spacing w:before="40" w:after="40"/>
        <w:ind w:left="360"/>
      </w:pPr>
      <w:r>
        <w:rPr>
          <w:rFonts w:ascii="Courier New" w:cs="Courier New" w:eastAsia="Courier New" w:hAnsi="Courier New"/>
          <w:color w:val="333333"/>
          <w:sz w:val="19"/>
          <w:szCs w:val="19"/>
        </w:rPr>
        <w:t xml:space="preserve">}</w:t>
      </w:r>
    </w:p>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280"/>
              <w:bottom w:type="dxa" w:w="200"/>
              <w:right w:type="dxa" w:w="280"/>
            </w:tcMar>
          </w:tcPr>
          <w:p>
            <w:r>
              <w:rPr>
                <w:rFonts w:ascii="Arial" w:cs="Arial" w:eastAsia="Arial" w:hAnsi="Arial"/>
                <w:b/>
                <w:bCs/>
                <w:color w:val="8899BB"/>
                <w:sz w:val="56"/>
                <w:szCs w:val="56"/>
              </w:rPr>
              <w:t xml:space="preserve">05</w:t>
            </w:r>
            <w:r>
              <w:rPr>
                <w:rFonts w:ascii="Arial" w:cs="Arial" w:eastAsia="Arial" w:hAnsi="Arial"/>
                <w:b/>
                <w:bCs/>
                <w:color w:val="FFFFFF"/>
                <w:sz w:val="32"/>
                <w:szCs w:val="32"/>
              </w:rPr>
              <w:t xml:space="preserve">   JSON Config Requirements</w:t>
            </w:r>
          </w:p>
          <w:p>
            <w:r>
              <w:rPr>
                <w:rFonts w:ascii="Arial" w:cs="Arial" w:eastAsia="Arial" w:hAnsi="Arial"/>
                <w:i/>
                <w:iCs/>
                <w:color w:val="AACFEE"/>
                <w:sz w:val="20"/>
                <w:szCs w:val="20"/>
              </w:rPr>
              <w:t xml:space="preserve">One config file per tool in config/tools/</w:t>
            </w:r>
          </w:p>
        </w:tc>
      </w:tr>
    </w:tbl>
    <w:p>
      <w:pPr>
        <w:spacing w:before="240" w:after="0"/>
      </w:pPr>
      <w:r>
        <w:t xml:space="preserve"/>
      </w:r>
    </w:p>
    <w:p>
      <w:pPr>
        <w:pStyle w:val="Heading2"/>
        <w:spacing w:before="280" w:after="100"/>
      </w:pPr>
      <w:r>
        <w:rPr>
          <w:rFonts w:ascii="Arial" w:cs="Arial" w:eastAsia="Arial" w:hAnsi="Arial"/>
          <w:b/>
          <w:bCs/>
          <w:color w:val="2E75B6"/>
          <w:sz w:val="26"/>
          <w:szCs w:val="26"/>
        </w:rPr>
        <w:t xml:space="preserve">5.1  Required Fields in Every Config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5360"/>
      </w:tblGrid>
      <w:tr>
        <w:trPr>
          <w:tblHeader/>
        </w:trPr>
        <w:tc>
          <w:tcPr>
            <w:tcW w:type="dxa" w:w="26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Field</w:t>
            </w:r>
          </w:p>
        </w:tc>
        <w:tc>
          <w:tcPr>
            <w:tcW w:type="dxa" w:w="14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Type</w:t>
            </w:r>
          </w:p>
        </w:tc>
        <w:tc>
          <w:tcPr>
            <w:tcW w:type="dxa" w:w="536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Description</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name</w:t>
            </w:r>
          </w:p>
        </w:tc>
        <w:tc>
          <w:tcPr>
            <w:tcW w:type="dxa" w:w="1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string</w:t>
            </w:r>
          </w:p>
        </w:tc>
        <w:tc>
          <w:tcPr>
            <w:tcW w:type="dxa" w:w="5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Tool name matching the Python class registration</w:t>
            </w:r>
          </w:p>
        </w:tc>
      </w:tr>
      <w:tr>
        <w:tc>
          <w:tcPr>
            <w:tcW w:type="dxa" w:w="26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implementation</w:t>
            </w:r>
          </w:p>
        </w:tc>
        <w:tc>
          <w:tcPr>
            <w:tcW w:type="dxa" w:w="14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string</w:t>
            </w:r>
          </w:p>
        </w:tc>
        <w:tc>
          <w:tcPr>
            <w:tcW w:type="dxa" w:w="53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Python class path: sajha.tools.impl.iris_ccr_tools.ClassName</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description</w:t>
            </w:r>
          </w:p>
        </w:tc>
        <w:tc>
          <w:tcPr>
            <w:tcW w:type="dxa" w:w="1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string</w:t>
            </w:r>
          </w:p>
        </w:tc>
        <w:tc>
          <w:tcPr>
            <w:tcW w:type="dxa" w:w="5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Clear, agent-readable description used in tool discovery</w:t>
            </w:r>
          </w:p>
        </w:tc>
      </w:tr>
      <w:tr>
        <w:tc>
          <w:tcPr>
            <w:tcW w:type="dxa" w:w="26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version</w:t>
            </w:r>
          </w:p>
        </w:tc>
        <w:tc>
          <w:tcPr>
            <w:tcW w:type="dxa" w:w="14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string</w:t>
            </w:r>
          </w:p>
        </w:tc>
        <w:tc>
          <w:tcPr>
            <w:tcW w:type="dxa" w:w="53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Semantic version e.g. 1.0.0</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enabled</w:t>
            </w:r>
          </w:p>
        </w:tc>
        <w:tc>
          <w:tcPr>
            <w:tcW w:type="dxa" w:w="1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boolean</w:t>
            </w:r>
          </w:p>
        </w:tc>
        <w:tc>
          <w:tcPr>
            <w:tcW w:type="dxa" w:w="5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true to make tool live on server start</w:t>
            </w:r>
          </w:p>
        </w:tc>
      </w:tr>
      <w:tr>
        <w:tc>
          <w:tcPr>
            <w:tcW w:type="dxa" w:w="26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data_path</w:t>
            </w:r>
          </w:p>
        </w:tc>
        <w:tc>
          <w:tcPr>
            <w:tcW w:type="dxa" w:w="14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string</w:t>
            </w:r>
          </w:p>
        </w:tc>
        <w:tc>
          <w:tcPr>
            <w:tcW w:type="dxa" w:w="53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${data.iris_combined_csv} — resolved from application.properties</w:t>
            </w:r>
          </w:p>
        </w:tc>
      </w:tr>
      <w:tr>
        <w:tc>
          <w:tcPr>
            <w:tcW w:type="dxa" w:w="2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inputSchema</w:t>
            </w:r>
          </w:p>
        </w:tc>
        <w:tc>
          <w:tcPr>
            <w:tcW w:type="dxa" w:w="1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object</w:t>
            </w:r>
          </w:p>
        </w:tc>
        <w:tc>
          <w:tcPr>
            <w:tcW w:type="dxa" w:w="5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Full JSON Schema for all input parameters with required[] array</w:t>
            </w:r>
          </w:p>
        </w:tc>
      </w:tr>
      <w:tr>
        <w:tc>
          <w:tcPr>
            <w:tcW w:type="dxa" w:w="26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outputSchema</w:t>
            </w:r>
          </w:p>
        </w:tc>
        <w:tc>
          <w:tcPr>
            <w:tcW w:type="dxa" w:w="14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object</w:t>
            </w:r>
          </w:p>
        </w:tc>
        <w:tc>
          <w:tcPr>
            <w:tcW w:type="dxa" w:w="53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JSON Schema describing response structure</w:t>
            </w:r>
          </w:p>
        </w:tc>
      </w:tr>
    </w:tbl>
    <w:p>
      <w:pPr>
        <w:spacing w:before="200" w:after="0"/>
      </w:pPr>
      <w:r>
        <w:t xml:space="preserve"/>
      </w:r>
    </w:p>
    <w:p>
      <w:pPr>
        <w:pStyle w:val="Heading2"/>
        <w:spacing w:before="280" w:after="100"/>
      </w:pPr>
      <w:r>
        <w:rPr>
          <w:rFonts w:ascii="Arial" w:cs="Arial" w:eastAsia="Arial" w:hAnsi="Arial"/>
          <w:b/>
          <w:bCs/>
          <w:color w:val="2E75B6"/>
          <w:sz w:val="26"/>
          <w:szCs w:val="26"/>
        </w:rPr>
        <w:t xml:space="preserve">5.2  Metadata Block (Required in All Configs)</w:t>
      </w:r>
    </w:p>
    <w:p>
      <w:pPr>
        <w:spacing w:before="80" w:after="0"/>
      </w:pPr>
      <w:r>
        <w:t xml:space="preserve"/>
      </w:r>
    </w:p>
    <w:p>
      <w:pPr>
        <w:shd w:fill="F0F0F0" w:val="clear"/>
        <w:spacing w:before="40" w:after="40"/>
        <w:ind w:left="360"/>
      </w:pPr>
      <w:r>
        <w:rPr>
          <w:rFonts w:ascii="Courier New" w:cs="Courier New" w:eastAsia="Courier New" w:hAnsi="Courier New"/>
          <w:color w:val="333333"/>
          <w:sz w:val="19"/>
          <w:szCs w:val="19"/>
        </w:rPr>
        <w:t xml:space="preserve">{</w:t>
      </w:r>
    </w:p>
    <w:p>
      <w:pPr>
        <w:shd w:fill="F0F0F0" w:val="clear"/>
        <w:spacing w:before="40" w:after="40"/>
        <w:ind w:left="360"/>
      </w:pPr>
      <w:r>
        <w:rPr>
          <w:rFonts w:ascii="Courier New" w:cs="Courier New" w:eastAsia="Courier New" w:hAnsi="Courier New"/>
          <w:color w:val="333333"/>
          <w:sz w:val="19"/>
          <w:szCs w:val="19"/>
        </w:rPr>
        <w:t xml:space="preserve">  "author": "Ashutosh Sinha",</w:t>
      </w:r>
    </w:p>
    <w:p>
      <w:pPr>
        <w:shd w:fill="F0F0F0" w:val="clear"/>
        <w:spacing w:before="40" w:after="40"/>
        <w:ind w:left="360"/>
      </w:pPr>
      <w:r>
        <w:rPr>
          <w:rFonts w:ascii="Courier New" w:cs="Courier New" w:eastAsia="Courier New" w:hAnsi="Courier New"/>
          <w:color w:val="333333"/>
          <w:sz w:val="19"/>
          <w:szCs w:val="19"/>
        </w:rPr>
        <w:t xml:space="preserve">  "email": "ajsinha@gmail.com",</w:t>
      </w:r>
    </w:p>
    <w:p>
      <w:pPr>
        <w:shd w:fill="F0F0F0" w:val="clear"/>
        <w:spacing w:before="40" w:after="40"/>
        <w:ind w:left="360"/>
      </w:pPr>
      <w:r>
        <w:rPr>
          <w:rFonts w:ascii="Courier New" w:cs="Courier New" w:eastAsia="Courier New" w:hAnsi="Courier New"/>
          <w:color w:val="333333"/>
          <w:sz w:val="19"/>
          <w:szCs w:val="19"/>
        </w:rPr>
        <w:t xml:space="preserve">  "category": "Risk Data",</w:t>
      </w:r>
    </w:p>
    <w:p>
      <w:pPr>
        <w:shd w:fill="F0F0F0" w:val="clear"/>
        <w:spacing w:before="40" w:after="40"/>
        <w:ind w:left="360"/>
      </w:pPr>
      <w:r>
        <w:rPr>
          <w:rFonts w:ascii="Courier New" w:cs="Courier New" w:eastAsia="Courier New" w:hAnsi="Courier New"/>
          <w:color w:val="333333"/>
          <w:sz w:val="19"/>
          <w:szCs w:val="19"/>
        </w:rPr>
        <w:t xml:space="preserve">  "tags": ["iris", "ccr", "counterparty credit risk", "limits", "exposure"],</w:t>
      </w:r>
    </w:p>
    <w:p>
      <w:pPr>
        <w:shd w:fill="F0F0F0" w:val="clear"/>
        <w:spacing w:before="40" w:after="40"/>
        <w:ind w:left="360"/>
      </w:pPr>
      <w:r>
        <w:rPr>
          <w:rFonts w:ascii="Courier New" w:cs="Courier New" w:eastAsia="Courier New" w:hAnsi="Courier New"/>
          <w:color w:val="333333"/>
          <w:sz w:val="19"/>
          <w:szCs w:val="19"/>
        </w:rPr>
        <w:t xml:space="preserve">  "rateLimit": 60,</w:t>
      </w:r>
    </w:p>
    <w:p>
      <w:pPr>
        <w:shd w:fill="F0F0F0" w:val="clear"/>
        <w:spacing w:before="40" w:after="40"/>
        <w:ind w:left="360"/>
      </w:pPr>
      <w:r>
        <w:rPr>
          <w:rFonts w:ascii="Courier New" w:cs="Courier New" w:eastAsia="Courier New" w:hAnsi="Courier New"/>
          <w:color w:val="333333"/>
          <w:sz w:val="19"/>
          <w:szCs w:val="19"/>
        </w:rPr>
        <w:t xml:space="preserve">  "cacheTTL": 300,</w:t>
      </w:r>
    </w:p>
    <w:p>
      <w:pPr>
        <w:shd w:fill="F0F0F0" w:val="clear"/>
        <w:spacing w:before="40" w:after="40"/>
        <w:ind w:left="360"/>
      </w:pPr>
      <w:r>
        <w:rPr>
          <w:rFonts w:ascii="Courier New" w:cs="Courier New" w:eastAsia="Courier New" w:hAnsi="Courier New"/>
          <w:color w:val="333333"/>
          <w:sz w:val="19"/>
          <w:szCs w:val="19"/>
        </w:rPr>
        <w:t xml:space="preserve">  "copyright": "Copyright All Rights Reserved 2025-2030"</w:t>
      </w:r>
    </w:p>
    <w:p>
      <w:pPr>
        <w:shd w:fill="F0F0F0" w:val="clear"/>
        <w:spacing w:before="40" w:after="40"/>
        <w:ind w:left="360"/>
      </w:pPr>
      <w:r>
        <w:rPr>
          <w:rFonts w:ascii="Courier New" w:cs="Courier New" w:eastAsia="Courier New" w:hAnsi="Courier New"/>
          <w:color w:val="333333"/>
          <w:sz w:val="19"/>
          <w:szCs w:val="19"/>
        </w:rPr>
        <w:t xml:space="preserve">}</w:t>
      </w:r>
    </w:p>
    <w:p>
      <w:pPr>
        <w:spacing w:before="200" w:after="0"/>
      </w:pPr>
      <w:r>
        <w:t xml:space="preserve"/>
      </w:r>
    </w:p>
    <w:p>
      <w:pPr>
        <w:pStyle w:val="Heading2"/>
        <w:spacing w:before="280" w:after="100"/>
      </w:pPr>
      <w:r>
        <w:rPr>
          <w:rFonts w:ascii="Arial" w:cs="Arial" w:eastAsia="Arial" w:hAnsi="Arial"/>
          <w:b/>
          <w:bCs/>
          <w:color w:val="2E75B6"/>
          <w:sz w:val="26"/>
          <w:szCs w:val="26"/>
        </w:rPr>
        <w:t xml:space="preserve">5.3  application.properties Entry</w:t>
      </w:r>
    </w:p>
    <w:p>
      <w:pPr>
        <w:spacing w:before="80" w:after="0"/>
      </w:pPr>
      <w:r>
        <w:t xml:space="preserve"/>
      </w:r>
    </w:p>
    <w:p>
      <w:pPr>
        <w:shd w:fill="F0F0F0" w:val="clear"/>
        <w:spacing w:before="40" w:after="40"/>
        <w:ind w:left="360"/>
      </w:pPr>
      <w:r>
        <w:rPr>
          <w:rFonts w:ascii="Courier New" w:cs="Courier New" w:eastAsia="Courier New" w:hAnsi="Courier New"/>
          <w:color w:val="333333"/>
          <w:sz w:val="19"/>
          <w:szCs w:val="19"/>
        </w:rPr>
        <w:t xml:space="preserve">data.iris_combined_csv=./CCR_data/iris/iris_combined.csv</w:t>
      </w:r>
    </w:p>
    <w:p>
      <w:pPr>
        <w:spacing w:before="80" w:after="0"/>
      </w:pPr>
      <w:r>
        <w:t xml:space="preserve"/>
      </w:r>
    </w:p>
    <w:p>
      <w:pPr>
        <w:spacing w:before="60" w:after="80"/>
      </w:pPr>
      <w:r>
        <w:rPr>
          <w:rFonts w:ascii="Arial" w:cs="Arial" w:eastAsia="Arial" w:hAnsi="Arial"/>
          <w:sz w:val="22"/>
          <w:szCs w:val="22"/>
        </w:rPr>
        <w:t xml:space="preserve">This must be added to config/application.properties. The ${data.iris_combined_csv} variable substitution in tool configs resolves to this value at runtime.</w:t>
      </w:r>
    </w:p>
    <w:p>
      <w:pPr>
        <w:spacing w:before="200" w:after="0"/>
      </w:pPr>
      <w:r>
        <w:t xml:space="preserve"/>
      </w:r>
    </w:p>
    <w:p>
      <w:pPr>
        <w:pStyle w:val="Heading2"/>
        <w:spacing w:before="280" w:after="100"/>
      </w:pPr>
      <w:r>
        <w:rPr>
          <w:rFonts w:ascii="Arial" w:cs="Arial" w:eastAsia="Arial" w:hAnsi="Arial"/>
          <w:b/>
          <w:bCs/>
          <w:color w:val="2E75B6"/>
          <w:sz w:val="26"/>
          <w:szCs w:val="26"/>
        </w:rPr>
        <w:t xml:space="preserve">5.4  inputSchema Pattern for Required date + counterparty_code</w:t>
      </w:r>
    </w:p>
    <w:p>
      <w:pPr>
        <w:spacing w:before="80" w:after="0"/>
      </w:pPr>
      <w:r>
        <w:t xml:space="preserve"/>
      </w:r>
    </w:p>
    <w:p>
      <w:pPr>
        <w:shd w:fill="F0F0F0" w:val="clear"/>
        <w:spacing w:before="40" w:after="40"/>
        <w:ind w:left="360"/>
      </w:pPr>
      <w:r>
        <w:rPr>
          <w:rFonts w:ascii="Courier New" w:cs="Courier New" w:eastAsia="Courier New" w:hAnsi="Courier New"/>
          <w:color w:val="333333"/>
          <w:sz w:val="19"/>
          <w:szCs w:val="19"/>
        </w:rPr>
        <w:t xml:space="preserve">"inputSchema": {</w:t>
      </w:r>
    </w:p>
    <w:p>
      <w:pPr>
        <w:shd w:fill="F0F0F0" w:val="clear"/>
        <w:spacing w:before="40" w:after="40"/>
        <w:ind w:left="360"/>
      </w:pPr>
      <w:r>
        <w:rPr>
          <w:rFonts w:ascii="Courier New" w:cs="Courier New" w:eastAsia="Courier New" w:hAnsi="Courier New"/>
          <w:color w:val="333333"/>
          <w:sz w:val="19"/>
          <w:szCs w:val="19"/>
        </w:rPr>
        <w:t xml:space="preserve">  "type": "object",</w:t>
      </w:r>
    </w:p>
    <w:p>
      <w:pPr>
        <w:shd w:fill="F0F0F0" w:val="clear"/>
        <w:spacing w:before="40" w:after="40"/>
        <w:ind w:left="360"/>
      </w:pPr>
      <w:r>
        <w:rPr>
          <w:rFonts w:ascii="Courier New" w:cs="Courier New" w:eastAsia="Courier New" w:hAnsi="Courier New"/>
          <w:color w:val="333333"/>
          <w:sz w:val="19"/>
          <w:szCs w:val="19"/>
        </w:rPr>
        <w:t xml:space="preserve">  "properties": {</w:t>
      </w:r>
    </w:p>
    <w:p>
      <w:pPr>
        <w:shd w:fill="F0F0F0" w:val="clear"/>
        <w:spacing w:before="40" w:after="40"/>
        <w:ind w:left="360"/>
      </w:pPr>
      <w:r>
        <w:rPr>
          <w:rFonts w:ascii="Courier New" w:cs="Courier New" w:eastAsia="Courier New" w:hAnsi="Courier New"/>
          <w:color w:val="333333"/>
          <w:sz w:val="19"/>
          <w:szCs w:val="19"/>
        </w:rPr>
        <w:t xml:space="preserve">    "date":             { "type": "string", "description": "Snapshot date YYYY-MM-DD. Defaults to latest." },</w:t>
      </w:r>
    </w:p>
    <w:p>
      <w:pPr>
        <w:shd w:fill="F0F0F0" w:val="clear"/>
        <w:spacing w:before="40" w:after="40"/>
        <w:ind w:left="360"/>
      </w:pPr>
      <w:r>
        <w:rPr>
          <w:rFonts w:ascii="Courier New" w:cs="Courier New" w:eastAsia="Courier New" w:hAnsi="Courier New"/>
          <w:color w:val="333333"/>
          <w:sz w:val="19"/>
          <w:szCs w:val="19"/>
        </w:rPr>
        <w:t xml:space="preserve">    "counterparty_code":{ "type": "string", "description": "Customer Code (exact match)." },</w:t>
      </w:r>
    </w:p>
    <w:p>
      <w:pPr>
        <w:shd w:fill="F0F0F0" w:val="clear"/>
        <w:spacing w:before="40" w:after="40"/>
        <w:ind w:left="360"/>
      </w:pPr>
      <w:r>
        <w:rPr>
          <w:rFonts w:ascii="Courier New" w:cs="Courier New" w:eastAsia="Courier New" w:hAnsi="Courier New"/>
          <w:color w:val="333333"/>
          <w:sz w:val="19"/>
          <w:szCs w:val="19"/>
        </w:rPr>
        <w:t xml:space="preserve">    "legal_entity":     { "type": "string", "enum": ["BCMC","HARRIS BANK","BMO","BNBI","BOMI","BHIC","BMN","BCML","BLAC","BMMC"] },</w:t>
      </w:r>
    </w:p>
    <w:p>
      <w:pPr>
        <w:shd w:fill="F0F0F0" w:val="clear"/>
        <w:spacing w:before="40" w:after="40"/>
        <w:ind w:left="360"/>
      </w:pPr>
      <w:r>
        <w:rPr>
          <w:rFonts w:ascii="Courier New" w:cs="Courier New" w:eastAsia="Courier New" w:hAnsi="Courier New"/>
          <w:color w:val="333333"/>
          <w:sz w:val="19"/>
          <w:szCs w:val="19"/>
        </w:rPr>
        <w:t xml:space="preserve">    "product":          { "type": "string", "description": "Product type partial match." }</w:t>
      </w:r>
    </w:p>
    <w:p>
      <w:pPr>
        <w:shd w:fill="F0F0F0" w:val="clear"/>
        <w:spacing w:before="40" w:after="40"/>
        <w:ind w:left="360"/>
      </w:pPr>
      <w:r>
        <w:rPr>
          <w:rFonts w:ascii="Courier New" w:cs="Courier New" w:eastAsia="Courier New" w:hAnsi="Courier New"/>
          <w:color w:val="333333"/>
          <w:sz w:val="19"/>
          <w:szCs w:val="19"/>
        </w:rPr>
        <w:t xml:space="preserve">  },</w:t>
      </w:r>
    </w:p>
    <w:p>
      <w:pPr>
        <w:shd w:fill="F0F0F0" w:val="clear"/>
        <w:spacing w:before="40" w:after="40"/>
        <w:ind w:left="360"/>
      </w:pPr>
      <w:r>
        <w:rPr>
          <w:rFonts w:ascii="Courier New" w:cs="Courier New" w:eastAsia="Courier New" w:hAnsi="Courier New"/>
          <w:color w:val="333333"/>
          <w:sz w:val="19"/>
          <w:szCs w:val="19"/>
        </w:rPr>
        <w:t xml:space="preserve">  "required": ["date", "counterparty_code"]</w:t>
      </w:r>
    </w:p>
    <w:p>
      <w:pPr>
        <w:shd w:fill="F0F0F0" w:val="clear"/>
        <w:spacing w:before="40" w:after="40"/>
        <w:ind w:left="360"/>
      </w:pPr>
      <w:r>
        <w:rPr>
          <w:rFonts w:ascii="Courier New" w:cs="Courier New" w:eastAsia="Courier New" w:hAnsi="Courier New"/>
          <w:color w:val="333333"/>
          <w:sz w:val="19"/>
          <w:szCs w:val="19"/>
        </w:rPr>
        <w:t xml:space="preserve">}</w:t>
      </w:r>
    </w:p>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280"/>
              <w:bottom w:type="dxa" w:w="200"/>
              <w:right w:type="dxa" w:w="280"/>
            </w:tcMar>
          </w:tcPr>
          <w:p>
            <w:r>
              <w:rPr>
                <w:rFonts w:ascii="Arial" w:cs="Arial" w:eastAsia="Arial" w:hAnsi="Arial"/>
                <w:b/>
                <w:bCs/>
                <w:color w:val="8899BB"/>
                <w:sz w:val="56"/>
                <w:szCs w:val="56"/>
              </w:rPr>
              <w:t xml:space="preserve">06</w:t>
            </w:r>
            <w:r>
              <w:rPr>
                <w:rFonts w:ascii="Arial" w:cs="Arial" w:eastAsia="Arial" w:hAnsi="Arial"/>
                <w:b/>
                <w:bCs/>
                <w:color w:val="FFFFFF"/>
                <w:sz w:val="32"/>
                <w:szCs w:val="32"/>
              </w:rPr>
              <w:t xml:space="preserve">   Literature File</w:t>
            </w:r>
          </w:p>
          <w:p>
            <w:r>
              <w:rPr>
                <w:rFonts w:ascii="Arial" w:cs="Arial" w:eastAsia="Arial" w:hAnsi="Arial"/>
                <w:i/>
                <w:iCs/>
                <w:color w:val="AACFEE"/>
                <w:sz w:val="20"/>
                <w:szCs w:val="20"/>
              </w:rPr>
              <w:t xml:space="preserve">Agent knowledge base — domain concepts, tool routing, rules</w:t>
            </w:r>
          </w:p>
        </w:tc>
      </w:tr>
    </w:tbl>
    <w:p>
      <w:pPr>
        <w:spacing w:before="240" w:after="0"/>
      </w:pPr>
      <w:r>
        <w:t xml:space="preserve"/>
      </w:r>
    </w:p>
    <w:p>
      <w:pPr>
        <w:spacing w:before="60" w:after="80"/>
      </w:pPr>
      <w:r>
        <w:rPr>
          <w:rFonts w:ascii="Arial" w:cs="Arial" w:eastAsia="Arial" w:hAnsi="Arial"/>
          <w:sz w:val="22"/>
          <w:szCs w:val="22"/>
        </w:rPr>
        <w:t xml:space="preserve">Create two literature files:</w:t>
      </w:r>
    </w:p>
    <w:p>
      <w:pPr>
        <w:pStyle w:val="ListParagraph"/>
        <w:numPr>
          <w:ilvl w:val="0"/>
          <w:numId w:val="2"/>
        </w:numPr>
        <w:spacing w:before="40" w:after="40"/>
      </w:pPr>
      <w:r>
        <w:rPr>
          <w:rFonts w:ascii="Arial" w:cs="Arial" w:eastAsia="Arial" w:hAnsi="Arial"/>
          <w:sz w:val="22"/>
          <w:szCs w:val="22"/>
        </w:rPr>
        <w:t xml:space="preserve">config/literature/iris_ccr_global.txt — covers domain concepts, data model, and NON-AGGREGATION rule</w:t>
      </w:r>
    </w:p>
    <w:p>
      <w:pPr>
        <w:pStyle w:val="ListParagraph"/>
        <w:numPr>
          <w:ilvl w:val="0"/>
          <w:numId w:val="2"/>
        </w:numPr>
        <w:spacing w:before="40" w:after="40"/>
      </w:pPr>
      <w:r>
        <w:rPr>
          <w:rFonts w:ascii="Arial" w:cs="Arial" w:eastAsia="Arial" w:hAnsi="Arial"/>
          <w:sz w:val="22"/>
          <w:szCs w:val="22"/>
        </w:rPr>
        <w:t xml:space="preserve">config/literature/iris_ccr_tools.txt — covers tool descriptions, call sequence, and routing guidance</w:t>
      </w:r>
    </w:p>
    <w:p>
      <w:pPr>
        <w:spacing w:before="120" w:after="0"/>
      </w:pPr>
      <w:r>
        <w:t xml:space="preserve"/>
      </w:r>
    </w:p>
    <w:p>
      <w:pPr>
        <w:pStyle w:val="Heading2"/>
        <w:spacing w:before="280" w:after="100"/>
      </w:pPr>
      <w:r>
        <w:rPr>
          <w:rFonts w:ascii="Arial" w:cs="Arial" w:eastAsia="Arial" w:hAnsi="Arial"/>
          <w:b/>
          <w:bCs/>
          <w:color w:val="2E75B6"/>
          <w:sz w:val="26"/>
          <w:szCs w:val="26"/>
        </w:rPr>
        <w:t xml:space="preserve">6.1  iris_ccr_global.txt — Required Content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Topic</w:t>
            </w:r>
          </w:p>
        </w:tc>
        <w:tc>
          <w:tcPr>
            <w:tcW w:type="dxa" w:w="656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What to Explain</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IRIS system</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Internal CCR limit and exposure management platform</w:t>
            </w:r>
          </w:p>
        </w:tc>
      </w:tr>
      <w:tr>
        <w:tc>
          <w:tcPr>
            <w:tcW w:type="dxa" w:w="2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CCR definition</w:t>
            </w:r>
          </w:p>
        </w:tc>
        <w:tc>
          <w:tcPr>
            <w:tcW w:type="dxa" w:w="65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Risk that a counterparty defaults before settlement</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Hierarchy levels</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Product / Customer / Connection — what each covers</w:t>
            </w:r>
          </w:p>
        </w:tc>
      </w:tr>
      <w:tr>
        <w:tc>
          <w:tcPr>
            <w:tcW w:type="dxa" w:w="2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Limits vs Exposure vs Headroom</w:t>
            </w:r>
          </w:p>
        </w:tc>
        <w:tc>
          <w:tcPr>
            <w:tcW w:type="dxa" w:w="65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Definitions and how to read them</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 NON-AGGREGATION RULE</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Limits are parallel controls — NEVER sum across levels. State this prominently.</w:t>
            </w:r>
          </w:p>
        </w:tc>
      </w:tr>
      <w:tr>
        <w:tc>
          <w:tcPr>
            <w:tcW w:type="dxa" w:w="2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limit_key</w:t>
            </w:r>
          </w:p>
        </w:tc>
        <w:tc>
          <w:tcPr>
            <w:tcW w:type="dxa" w:w="65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Composite key: counterparty_code / facility_id / legal_entity / product</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UEN / Facility ID</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Numeric facility identifier — same as Facility ID column</w:t>
            </w:r>
          </w:p>
        </w:tc>
      </w:tr>
      <w:tr>
        <w:tc>
          <w:tcPr>
            <w:tcW w:type="dxa" w:w="2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CSA Agreement</w:t>
            </w:r>
          </w:p>
        </w:tc>
        <w:tc>
          <w:tcPr>
            <w:tcW w:type="dxa" w:w="65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Credit Support Annex — collateral agreement reducing net exposure</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Netting Agreement</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Allows offsetting of positive and negative MTM positions</w:t>
            </w:r>
          </w:p>
        </w:tc>
      </w:tr>
      <w:tr>
        <w:tc>
          <w:tcPr>
            <w:tcW w:type="dxa" w:w="2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Snapshot logic</w:t>
            </w:r>
          </w:p>
        </w:tc>
        <w:tc>
          <w:tcPr>
            <w:tcW w:type="dxa" w:w="65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Each row = state of a limit on a specific date. Always specify date.</w:t>
            </w:r>
          </w:p>
        </w:tc>
      </w:tr>
      <w:tr>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Legal entities</w:t>
            </w:r>
          </w:p>
        </w:tc>
        <w:tc>
          <w:tcPr>
            <w:tcW w:type="dxa" w:w="6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BCMC, HARRIS BANK, BMO, BNBI, BOMI, BHIC, BMN, BCML, BLAC, BMMC</w:t>
            </w:r>
          </w:p>
        </w:tc>
      </w:tr>
      <w:tr>
        <w:tc>
          <w:tcPr>
            <w:tcW w:type="dxa" w:w="2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Scale</w:t>
            </w:r>
          </w:p>
        </w:tc>
        <w:tc>
          <w:tcPr>
            <w:tcW w:type="dxa" w:w="65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~300k rows per snapshot, ~5,000 counterparties, always filter by date first</w:t>
            </w:r>
          </w:p>
        </w:tc>
      </w:tr>
    </w:tbl>
    <w:p>
      <w:pPr>
        <w:spacing w:before="200" w:after="0"/>
      </w:pPr>
      <w:r>
        <w:t xml:space="preserve"/>
      </w:r>
    </w:p>
    <w:p>
      <w:pPr>
        <w:pStyle w:val="Heading2"/>
        <w:spacing w:before="280" w:after="100"/>
      </w:pPr>
      <w:r>
        <w:rPr>
          <w:rFonts w:ascii="Arial" w:cs="Arial" w:eastAsia="Arial" w:hAnsi="Arial"/>
          <w:b/>
          <w:bCs/>
          <w:color w:val="2E75B6"/>
          <w:sz w:val="26"/>
          <w:szCs w:val="26"/>
        </w:rPr>
        <w:t xml:space="preserve">6.2  iris_ccr_tools.txt — Required Content</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Tool</w:t>
            </w:r>
          </w:p>
        </w:tc>
        <w:tc>
          <w:tcPr>
            <w:tcW w:type="dxa" w:w="636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When Agent Should Use It</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iris_list_dates</w:t>
            </w:r>
          </w:p>
        </w:tc>
        <w:tc>
          <w:tcPr>
            <w:tcW w:type="dxa" w:w="6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ALWAYS call first — discover available dates before any query</w:t>
            </w:r>
          </w:p>
        </w:tc>
      </w:tr>
      <w:tr>
        <w:tc>
          <w:tcPr>
            <w:tcW w:type="dxa" w:w="30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iris_search_counterparties</w:t>
            </w:r>
          </w:p>
        </w:tc>
        <w:tc>
          <w:tcPr>
            <w:tcW w:type="dxa" w:w="63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Resolve counterparty before any limit/exposure query</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iris_counterparty_dashboard</w:t>
            </w:r>
          </w:p>
        </w:tc>
        <w:tc>
          <w:tcPr>
            <w:tcW w:type="dxa" w:w="6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Full picture — all products, all limits for one counterparty</w:t>
            </w:r>
          </w:p>
        </w:tc>
      </w:tr>
      <w:tr>
        <w:tc>
          <w:tcPr>
            <w:tcW w:type="dxa" w:w="30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iris_limit_lookup</w:t>
            </w:r>
          </w:p>
        </w:tc>
        <w:tc>
          <w:tcPr>
            <w:tcW w:type="dxa" w:w="63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Pinpoint one specific limit by composite key</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iris_limit_breach_check</w:t>
            </w:r>
          </w:p>
        </w:tc>
        <w:tc>
          <w:tcPr>
            <w:tcW w:type="dxa" w:w="6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Check if a specific counterparty is breaching any limits</w:t>
            </w:r>
          </w:p>
        </w:tc>
      </w:tr>
      <w:tr>
        <w:tc>
          <w:tcPr>
            <w:tcW w:type="dxa" w:w="30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iris_exposure_trend</w:t>
            </w:r>
          </w:p>
        </w:tc>
        <w:tc>
          <w:tcPr>
            <w:tcW w:type="dxa" w:w="63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Track one counterparty's exposure movement over time</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iris_multi_counterparty_comparison</w:t>
            </w:r>
          </w:p>
        </w:tc>
        <w:tc>
          <w:tcPr>
            <w:tcW w:type="dxa" w:w="6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Compare 2+ counterparties side by side</w:t>
            </w:r>
          </w:p>
        </w:tc>
      </w:tr>
      <w:tr>
        <w:tc>
          <w:tcPr>
            <w:tcW w:type="dxa" w:w="30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iris_portfolio_breach_scan</w:t>
            </w:r>
          </w:p>
        </w:tc>
        <w:tc>
          <w:tcPr>
            <w:tcW w:type="dxa" w:w="63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Portfolio-wide — all breaches on a date (min_overage required)</w:t>
            </w:r>
          </w:p>
        </w:tc>
      </w:tr>
      <w:tr>
        <w:tc>
          <w:tcPr>
            <w:tcW w:type="dxa" w:w="3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iris_rating_screen</w:t>
            </w:r>
          </w:p>
        </w:tc>
        <w:tc>
          <w:tcPr>
            <w:tcW w:type="dxa" w:w="6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Portfolio-wide — screen by rating, country, or exposure level</w:t>
            </w:r>
          </w:p>
        </w:tc>
      </w:tr>
    </w:tbl>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E2EFDA" w:val="clear"/>
            <w:tcMar>
              <w:top w:type="dxa" w:w="140"/>
              <w:left w:type="dxa" w:w="200"/>
              <w:bottom w:type="dxa" w:w="140"/>
              <w:right w:type="dxa" w:w="200"/>
            </w:tcMar>
          </w:tcPr>
          <w:p>
            <w:r>
              <w:rPr>
                <w:rFonts w:ascii="Arial" w:cs="Arial" w:eastAsia="Arial" w:hAnsi="Arial"/>
                <w:b/>
                <w:bCs/>
                <w:color w:val="1E7145"/>
                <w:sz w:val="22"/>
                <w:szCs w:val="22"/>
              </w:rPr>
              <w:t xml:space="preserve">Call Sequence:  </w:t>
            </w:r>
            <w:r>
              <w:rPr>
                <w:rFonts w:ascii="Arial" w:cs="Arial" w:eastAsia="Arial" w:hAnsi="Arial"/>
                <w:color w:val="1E7145"/>
                <w:sz w:val="22"/>
                <w:szCs w:val="22"/>
              </w:rPr>
              <w:t xml:space="preserve">iris_list_dates  →  iris_search_counterparties  →  specific tool. Never skip the first two steps for counterparty-specific queries.</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280"/>
              <w:bottom w:type="dxa" w:w="200"/>
              <w:right w:type="dxa" w:w="280"/>
            </w:tcMar>
          </w:tcPr>
          <w:p>
            <w:r>
              <w:rPr>
                <w:rFonts w:ascii="Arial" w:cs="Arial" w:eastAsia="Arial" w:hAnsi="Arial"/>
                <w:b/>
                <w:bCs/>
                <w:color w:val="8899BB"/>
                <w:sz w:val="56"/>
                <w:szCs w:val="56"/>
              </w:rPr>
              <w:t xml:space="preserve">07</w:t>
            </w:r>
            <w:r>
              <w:rPr>
                <w:rFonts w:ascii="Arial" w:cs="Arial" w:eastAsia="Arial" w:hAnsi="Arial"/>
                <w:b/>
                <w:bCs/>
                <w:color w:val="FFFFFF"/>
                <w:sz w:val="32"/>
                <w:szCs w:val="32"/>
              </w:rPr>
              <w:t xml:space="preserve">   Test CSV Specification</w:t>
            </w:r>
          </w:p>
          <w:p>
            <w:r>
              <w:rPr>
                <w:rFonts w:ascii="Arial" w:cs="Arial" w:eastAsia="Arial" w:hAnsi="Arial"/>
                <w:i/>
                <w:iCs/>
                <w:color w:val="AACFEE"/>
                <w:sz w:val="20"/>
                <w:szCs w:val="20"/>
              </w:rPr>
              <w:t xml:space="preserve">Claude Code must generate sample data following the exact IRIS schema</w:t>
            </w:r>
          </w:p>
        </w:tc>
      </w:tr>
    </w:tbl>
    <w:p>
      <w:pPr>
        <w:spacing w:before="240" w:after="0"/>
      </w:pPr>
      <w:r>
        <w:t xml:space="preserve"/>
      </w:r>
    </w:p>
    <w:p>
      <w:pPr>
        <w:pStyle w:val="Heading2"/>
        <w:spacing w:before="280" w:after="100"/>
      </w:pPr>
      <w:r>
        <w:rPr>
          <w:rFonts w:ascii="Arial" w:cs="Arial" w:eastAsia="Arial" w:hAnsi="Arial"/>
          <w:b/>
          <w:bCs/>
          <w:color w:val="2E75B6"/>
          <w:sz w:val="26"/>
          <w:szCs w:val="26"/>
        </w:rPr>
        <w:t xml:space="preserve">7.1  What Claude Code Must Build</w:t>
      </w:r>
    </w:p>
    <w:p>
      <w:pPr>
        <w:spacing w:before="60" w:after="80"/>
      </w:pPr>
      <w:r>
        <w:rPr>
          <w:rFonts w:ascii="Arial" w:cs="Arial" w:eastAsia="Arial" w:hAnsi="Arial"/>
          <w:sz w:val="22"/>
          <w:szCs w:val="22"/>
        </w:rPr>
        <w:t xml:space="preserve">Generate a test dataset that fully exercises all 9 tools. The data must follow the exact 42-column schema with realistic values. This is not dummy data — it must be structured so every tool can be verified against it.</w:t>
      </w:r>
    </w:p>
    <w:p>
      <w:pPr>
        <w:spacing w:before="120" w:after="0"/>
      </w:pPr>
      <w:r>
        <w:t xml:space="preserve"/>
      </w:r>
    </w:p>
    <w:p>
      <w:pPr>
        <w:pStyle w:val="Heading2"/>
        <w:spacing w:before="280" w:after="100"/>
      </w:pPr>
      <w:r>
        <w:rPr>
          <w:rFonts w:ascii="Arial" w:cs="Arial" w:eastAsia="Arial" w:hAnsi="Arial"/>
          <w:b/>
          <w:bCs/>
          <w:color w:val="2E75B6"/>
          <w:sz w:val="26"/>
          <w:szCs w:val="26"/>
        </w:rPr>
        <w:t xml:space="preserve">7.2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File</w:t>
            </w:r>
          </w:p>
        </w:tc>
        <w:tc>
          <w:tcPr>
            <w:tcW w:type="dxa" w:w="576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Purpose</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CCR_data/iris/iris_combined.csv</w:t>
            </w:r>
          </w:p>
        </w:tc>
        <w:tc>
          <w:tcPr>
            <w:tcW w:type="dxa" w:w="57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The combined test dataset — 42 columns, generated by combine_iris.py logic</w:t>
            </w:r>
          </w:p>
        </w:tc>
      </w:tr>
      <w:tr>
        <w:tc>
          <w:tcPr>
            <w:tcW w:type="dxa" w:w="36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CCR_data/iris/IRIS_ALL_PROD_UTIL_2026-03-27.csv</w:t>
            </w:r>
          </w:p>
        </w:tc>
        <w:tc>
          <w:tcPr>
            <w:tcW w:type="dxa" w:w="57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Raw daily file for latest date (without Date column)</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CCR_data/iris/IRIS_ALL_PROD_UTIL_2026-03-26.csv</w:t>
            </w:r>
          </w:p>
        </w:tc>
        <w:tc>
          <w:tcPr>
            <w:tcW w:type="dxa" w:w="57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Raw daily file for prior date</w:t>
            </w:r>
          </w:p>
        </w:tc>
      </w:tr>
      <w:tr>
        <w:tc>
          <w:tcPr>
            <w:tcW w:type="dxa" w:w="36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CCR_data/iris/IRIS_ALL_PROD_UTIL_2026-02-27.csv</w:t>
            </w:r>
          </w:p>
        </w:tc>
        <w:tc>
          <w:tcPr>
            <w:tcW w:type="dxa" w:w="57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Raw monthly file</w:t>
            </w:r>
          </w:p>
        </w:tc>
      </w:tr>
      <w:tr>
        <w:tc>
          <w:tcPr>
            <w:tcW w:type="dxa" w:w="3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CCR_data/iris/combine_iris.py</w:t>
            </w:r>
          </w:p>
        </w:tc>
        <w:tc>
          <w:tcPr>
            <w:tcW w:type="dxa" w:w="57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Script that combines raw files into iris_combined.csv</w:t>
            </w:r>
          </w:p>
        </w:tc>
      </w:tr>
    </w:tbl>
    <w:p>
      <w:pPr>
        <w:spacing w:before="200" w:after="0"/>
      </w:pPr>
      <w:r>
        <w:t xml:space="preserve"/>
      </w:r>
    </w:p>
    <w:p>
      <w:pPr>
        <w:pStyle w:val="Heading2"/>
        <w:spacing w:before="280" w:after="100"/>
      </w:pPr>
      <w:r>
        <w:rPr>
          <w:rFonts w:ascii="Arial" w:cs="Arial" w:eastAsia="Arial" w:hAnsi="Arial"/>
          <w:b/>
          <w:bCs/>
          <w:color w:val="2E75B6"/>
          <w:sz w:val="26"/>
          <w:szCs w:val="26"/>
        </w:rPr>
        <w:t xml:space="preserve">7.3  Data Requirements</w:t>
      </w:r>
    </w:p>
    <w:p>
      <w:pPr>
        <w:spacing w:before="80" w:after="0"/>
      </w:pPr>
      <w:r>
        <w:t xml:space="preserve"/>
      </w:r>
    </w:p>
    <w:p>
      <w:pPr>
        <w:pStyle w:val="Heading3"/>
        <w:spacing w:before="200" w:after="80"/>
      </w:pPr>
      <w:r>
        <w:rPr>
          <w:rFonts w:ascii="Arial" w:cs="Arial" w:eastAsia="Arial" w:hAnsi="Arial"/>
          <w:b/>
          <w:bCs/>
          <w:color w:val="2F4F7F"/>
          <w:sz w:val="22"/>
          <w:szCs w:val="22"/>
        </w:rPr>
        <w:t xml:space="preserve">Counterparties to Include (minimum 8)</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800"/>
        <w:gridCol w:w="1400"/>
        <w:gridCol w:w="2000"/>
        <w:gridCol w:w="1560"/>
      </w:tblGrid>
      <w:tr>
        <w:trPr>
          <w:tblHeader/>
        </w:trPr>
        <w:tc>
          <w:tcPr>
            <w:tcW w:type="dxa" w:w="16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Customer Code</w:t>
            </w:r>
          </w:p>
        </w:tc>
        <w:tc>
          <w:tcPr>
            <w:tcW w:type="dxa" w:w="28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Customer Name</w:t>
            </w:r>
          </w:p>
        </w:tc>
        <w:tc>
          <w:tcPr>
            <w:tcW w:type="dxa" w:w="14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Internal Rating</w:t>
            </w:r>
          </w:p>
        </w:tc>
        <w:tc>
          <w:tcPr>
            <w:tcW w:type="dxa" w:w="20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Country</w:t>
            </w:r>
          </w:p>
        </w:tc>
        <w:tc>
          <w:tcPr>
            <w:tcW w:type="dxa" w:w="156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Connection Code</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RBC</w:t>
            </w:r>
          </w:p>
        </w:tc>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Royal Bank of Canada</w:t>
            </w:r>
          </w:p>
        </w:tc>
        <w:tc>
          <w:tcPr>
            <w:tcW w:type="dxa" w:w="1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10</w:t>
            </w:r>
          </w:p>
        </w:tc>
        <w:tc>
          <w:tcPr>
            <w:tcW w:type="dxa" w:w="2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CANADA</w:t>
            </w:r>
          </w:p>
        </w:tc>
        <w:tc>
          <w:tcPr>
            <w:tcW w:type="dxa" w:w="1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RBCGRP</w:t>
            </w:r>
          </w:p>
        </w:tc>
      </w:tr>
      <w:tr>
        <w:tc>
          <w:tcPr>
            <w:tcW w:type="dxa" w:w="16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TD</w:t>
            </w:r>
          </w:p>
        </w:tc>
        <w:tc>
          <w:tcPr>
            <w:tcW w:type="dxa" w:w="2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Toronto-Dominion Bank</w:t>
            </w:r>
          </w:p>
        </w:tc>
        <w:tc>
          <w:tcPr>
            <w:tcW w:type="dxa" w:w="14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9</w:t>
            </w:r>
          </w:p>
        </w:tc>
        <w:tc>
          <w:tcPr>
            <w:tcW w:type="dxa" w:w="20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CANADA</w:t>
            </w:r>
          </w:p>
        </w:tc>
        <w:tc>
          <w:tcPr>
            <w:tcW w:type="dxa" w:w="15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TDGRP</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BMO_CP</w:t>
            </w:r>
          </w:p>
        </w:tc>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Bank of Montreal</w:t>
            </w:r>
          </w:p>
        </w:tc>
        <w:tc>
          <w:tcPr>
            <w:tcW w:type="dxa" w:w="1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8</w:t>
            </w:r>
          </w:p>
        </w:tc>
        <w:tc>
          <w:tcPr>
            <w:tcW w:type="dxa" w:w="2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CANADA</w:t>
            </w:r>
          </w:p>
        </w:tc>
        <w:tc>
          <w:tcPr>
            <w:tcW w:type="dxa" w:w="1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BMOGRP</w:t>
            </w:r>
          </w:p>
        </w:tc>
      </w:tr>
      <w:tr>
        <w:tc>
          <w:tcPr>
            <w:tcW w:type="dxa" w:w="16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GS</w:t>
            </w:r>
          </w:p>
        </w:tc>
        <w:tc>
          <w:tcPr>
            <w:tcW w:type="dxa" w:w="2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Goldman Sachs</w:t>
            </w:r>
          </w:p>
        </w:tc>
        <w:tc>
          <w:tcPr>
            <w:tcW w:type="dxa" w:w="14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7</w:t>
            </w:r>
          </w:p>
        </w:tc>
        <w:tc>
          <w:tcPr>
            <w:tcW w:type="dxa" w:w="20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USA</w:t>
            </w:r>
          </w:p>
        </w:tc>
        <w:tc>
          <w:tcPr>
            <w:tcW w:type="dxa" w:w="15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GSGRP</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JPM</w:t>
            </w:r>
          </w:p>
        </w:tc>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JP Morgan Chase</w:t>
            </w:r>
          </w:p>
        </w:tc>
        <w:tc>
          <w:tcPr>
            <w:tcW w:type="dxa" w:w="1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7</w:t>
            </w:r>
          </w:p>
        </w:tc>
        <w:tc>
          <w:tcPr>
            <w:tcW w:type="dxa" w:w="2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USA</w:t>
            </w:r>
          </w:p>
        </w:tc>
        <w:tc>
          <w:tcPr>
            <w:tcW w:type="dxa" w:w="1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JPMGRP</w:t>
            </w:r>
          </w:p>
        </w:tc>
      </w:tr>
      <w:tr>
        <w:tc>
          <w:tcPr>
            <w:tcW w:type="dxa" w:w="16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DB</w:t>
            </w:r>
          </w:p>
        </w:tc>
        <w:tc>
          <w:tcPr>
            <w:tcW w:type="dxa" w:w="2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Deutsche Bank</w:t>
            </w:r>
          </w:p>
        </w:tc>
        <w:tc>
          <w:tcPr>
            <w:tcW w:type="dxa" w:w="14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5</w:t>
            </w:r>
          </w:p>
        </w:tc>
        <w:tc>
          <w:tcPr>
            <w:tcW w:type="dxa" w:w="20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GERMANY</w:t>
            </w:r>
          </w:p>
        </w:tc>
        <w:tc>
          <w:tcPr>
            <w:tcW w:type="dxa" w:w="15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DBGRP</w:t>
            </w:r>
          </w:p>
        </w:tc>
      </w:tr>
      <w:tr>
        <w:tc>
          <w:tcPr>
            <w:tcW w:type="dxa" w:w="1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CS</w:t>
            </w:r>
          </w:p>
        </w:tc>
        <w:tc>
          <w:tcPr>
            <w:tcW w:type="dxa" w:w="2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Credit Suisse</w:t>
            </w:r>
          </w:p>
        </w:tc>
        <w:tc>
          <w:tcPr>
            <w:tcW w:type="dxa" w:w="1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4</w:t>
            </w:r>
          </w:p>
        </w:tc>
        <w:tc>
          <w:tcPr>
            <w:tcW w:type="dxa" w:w="2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SWITZERLAND</w:t>
            </w:r>
          </w:p>
        </w:tc>
        <w:tc>
          <w:tcPr>
            <w:tcW w:type="dxa" w:w="15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CSGRP</w:t>
            </w:r>
          </w:p>
        </w:tc>
      </w:tr>
      <w:tr>
        <w:tc>
          <w:tcPr>
            <w:tcW w:type="dxa" w:w="16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RISK_CP</w:t>
            </w:r>
          </w:p>
        </w:tc>
        <w:tc>
          <w:tcPr>
            <w:tcW w:type="dxa" w:w="2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Risky Corp Ltd</w:t>
            </w:r>
          </w:p>
        </w:tc>
        <w:tc>
          <w:tcPr>
            <w:tcW w:type="dxa" w:w="14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3</w:t>
            </w:r>
          </w:p>
        </w:tc>
        <w:tc>
          <w:tcPr>
            <w:tcW w:type="dxa" w:w="20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CAYMAN ISLANDS</w:t>
            </w:r>
          </w:p>
        </w:tc>
        <w:tc>
          <w:tcPr>
            <w:tcW w:type="dxa" w:w="15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RISKGRP</w:t>
            </w:r>
          </w:p>
        </w:tc>
      </w:tr>
    </w:tbl>
    <w:p>
      <w:pPr>
        <w:spacing w:before="120" w:after="0"/>
      </w:pPr>
      <w:r>
        <w:t xml:space="preserve"/>
      </w:r>
    </w:p>
    <w:p>
      <w:pPr>
        <w:pStyle w:val="Heading3"/>
        <w:spacing w:before="200" w:after="80"/>
      </w:pPr>
      <w:r>
        <w:rPr>
          <w:rFonts w:ascii="Arial" w:cs="Arial" w:eastAsia="Arial" w:hAnsi="Arial"/>
          <w:b/>
          <w:bCs/>
          <w:color w:val="2F4F7F"/>
          <w:sz w:val="22"/>
          <w:szCs w:val="22"/>
        </w:rPr>
        <w:t xml:space="preserve">Products to Include</w:t>
      </w:r>
    </w:p>
    <w:p>
      <w:pPr>
        <w:pStyle w:val="ListParagraph"/>
        <w:numPr>
          <w:ilvl w:val="0"/>
          <w:numId w:val="2"/>
        </w:numPr>
        <w:spacing w:before="40" w:after="40"/>
      </w:pPr>
      <w:r>
        <w:rPr>
          <w:rFonts w:ascii="Arial" w:cs="Arial" w:eastAsia="Arial" w:hAnsi="Arial"/>
          <w:sz w:val="22"/>
          <w:szCs w:val="22"/>
        </w:rPr>
        <w:t xml:space="preserve">Derivative Products</w:t>
      </w:r>
    </w:p>
    <w:p>
      <w:pPr>
        <w:pStyle w:val="ListParagraph"/>
        <w:numPr>
          <w:ilvl w:val="0"/>
          <w:numId w:val="2"/>
        </w:numPr>
        <w:spacing w:before="40" w:after="40"/>
      </w:pPr>
      <w:r>
        <w:rPr>
          <w:rFonts w:ascii="Arial" w:cs="Arial" w:eastAsia="Arial" w:hAnsi="Arial"/>
          <w:sz w:val="22"/>
          <w:szCs w:val="22"/>
        </w:rPr>
        <w:t xml:space="preserve">FX Forward</w:t>
      </w:r>
    </w:p>
    <w:p>
      <w:pPr>
        <w:pStyle w:val="ListParagraph"/>
        <w:numPr>
          <w:ilvl w:val="0"/>
          <w:numId w:val="2"/>
        </w:numPr>
        <w:spacing w:before="40" w:after="40"/>
      </w:pPr>
      <w:r>
        <w:rPr>
          <w:rFonts w:ascii="Arial" w:cs="Arial" w:eastAsia="Arial" w:hAnsi="Arial"/>
          <w:sz w:val="22"/>
          <w:szCs w:val="22"/>
        </w:rPr>
        <w:t xml:space="preserve">Interest Rate Products</w:t>
      </w:r>
    </w:p>
    <w:p>
      <w:pPr>
        <w:pStyle w:val="ListParagraph"/>
        <w:numPr>
          <w:ilvl w:val="0"/>
          <w:numId w:val="2"/>
        </w:numPr>
        <w:spacing w:before="40" w:after="40"/>
      </w:pPr>
      <w:r>
        <w:rPr>
          <w:rFonts w:ascii="Arial" w:cs="Arial" w:eastAsia="Arial" w:hAnsi="Arial"/>
          <w:sz w:val="22"/>
          <w:szCs w:val="22"/>
        </w:rPr>
        <w:t xml:space="preserve">Equity Products</w:t>
      </w:r>
    </w:p>
    <w:p>
      <w:pPr>
        <w:pStyle w:val="ListParagraph"/>
        <w:numPr>
          <w:ilvl w:val="0"/>
          <w:numId w:val="2"/>
        </w:numPr>
        <w:spacing w:before="40" w:after="40"/>
      </w:pPr>
      <w:r>
        <w:rPr>
          <w:rFonts w:ascii="Arial" w:cs="Arial" w:eastAsia="Arial" w:hAnsi="Arial"/>
          <w:sz w:val="22"/>
          <w:szCs w:val="22"/>
        </w:rPr>
        <w:t xml:space="preserve">Commodity Products</w:t>
      </w:r>
    </w:p>
    <w:p>
      <w:pPr>
        <w:spacing w:before="120" w:after="0"/>
      </w:pPr>
      <w:r>
        <w:t xml:space="preserve"/>
      </w:r>
    </w:p>
    <w:p>
      <w:pPr>
        <w:pStyle w:val="Heading3"/>
        <w:spacing w:before="200" w:after="80"/>
      </w:pPr>
      <w:r>
        <w:rPr>
          <w:rFonts w:ascii="Arial" w:cs="Arial" w:eastAsia="Arial" w:hAnsi="Arial"/>
          <w:b/>
          <w:bCs/>
          <w:color w:val="2F4F7F"/>
          <w:sz w:val="22"/>
          <w:szCs w:val="22"/>
        </w:rPr>
        <w:t xml:space="preserve">Legal Entities to Use</w:t>
      </w:r>
    </w:p>
    <w:p>
      <w:pPr>
        <w:pStyle w:val="ListParagraph"/>
        <w:numPr>
          <w:ilvl w:val="0"/>
          <w:numId w:val="2"/>
        </w:numPr>
        <w:spacing w:before="40" w:after="40"/>
      </w:pPr>
      <w:r>
        <w:rPr>
          <w:rFonts w:ascii="Arial" w:cs="Arial" w:eastAsia="Arial" w:hAnsi="Arial"/>
          <w:sz w:val="22"/>
          <w:szCs w:val="22"/>
        </w:rPr>
        <w:t xml:space="preserve">BCMC — primary entity for most records</w:t>
      </w:r>
    </w:p>
    <w:p>
      <w:pPr>
        <w:pStyle w:val="ListParagraph"/>
        <w:numPr>
          <w:ilvl w:val="0"/>
          <w:numId w:val="2"/>
        </w:numPr>
        <w:spacing w:before="40" w:after="40"/>
      </w:pPr>
      <w:r>
        <w:rPr>
          <w:rFonts w:ascii="Arial" w:cs="Arial" w:eastAsia="Arial" w:hAnsi="Arial"/>
          <w:sz w:val="22"/>
          <w:szCs w:val="22"/>
        </w:rPr>
        <w:t xml:space="preserve">BMO — secondary entity</w:t>
      </w:r>
    </w:p>
    <w:p>
      <w:pPr>
        <w:pStyle w:val="ListParagraph"/>
        <w:numPr>
          <w:ilvl w:val="0"/>
          <w:numId w:val="2"/>
        </w:numPr>
        <w:spacing w:before="40" w:after="40"/>
      </w:pPr>
      <w:r>
        <w:rPr>
          <w:rFonts w:ascii="Arial" w:cs="Arial" w:eastAsia="Arial" w:hAnsi="Arial"/>
          <w:sz w:val="22"/>
          <w:szCs w:val="22"/>
        </w:rPr>
        <w:t xml:space="preserve">BNBI — at least 2 counterparties</w:t>
      </w:r>
    </w:p>
    <w:p>
      <w:pPr>
        <w:spacing w:before="120" w:after="0"/>
      </w:pPr>
      <w:r>
        <w:t xml:space="preserve"/>
      </w:r>
    </w:p>
    <w:p>
      <w:pPr>
        <w:pStyle w:val="Heading3"/>
        <w:spacing w:before="200" w:after="80"/>
      </w:pPr>
      <w:r>
        <w:rPr>
          <w:rFonts w:ascii="Arial" w:cs="Arial" w:eastAsia="Arial" w:hAnsi="Arial"/>
          <w:b/>
          <w:bCs/>
          <w:color w:val="2F4F7F"/>
          <w:sz w:val="22"/>
          <w:szCs w:val="22"/>
        </w:rPr>
        <w:t xml:space="preserve">Dates to Include</w:t>
      </w: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6360"/>
      </w:tblGrid>
      <w:tr>
        <w:trPr>
          <w:tblHeader/>
        </w:trPr>
        <w:tc>
          <w:tcPr>
            <w:tcW w:type="dxa" w:w="18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Date</w:t>
            </w:r>
          </w:p>
        </w:tc>
        <w:tc>
          <w:tcPr>
            <w:tcW w:type="dxa" w:w="16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Type</w:t>
            </w:r>
          </w:p>
        </w:tc>
        <w:tc>
          <w:tcPr>
            <w:tcW w:type="dxa" w:w="636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Purpose</w:t>
            </w:r>
          </w:p>
        </w:tc>
      </w:tr>
      <w:tr>
        <w:tc>
          <w:tcPr>
            <w:tcW w:type="dxa" w:w="1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2026-03-27</w:t>
            </w:r>
          </w:p>
        </w:tc>
        <w:tc>
          <w:tcPr>
            <w:tcW w:type="dxa" w:w="1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Latest daily</w:t>
            </w:r>
          </w:p>
        </w:tc>
        <w:tc>
          <w:tcPr>
            <w:tcW w:type="dxa" w:w="6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Default date for all single-date queries</w:t>
            </w:r>
          </w:p>
        </w:tc>
      </w:tr>
      <w:tr>
        <w:tc>
          <w:tcPr>
            <w:tcW w:type="dxa" w:w="1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2026-03-26</w:t>
            </w:r>
          </w:p>
        </w:tc>
        <w:tc>
          <w:tcPr>
            <w:tcW w:type="dxa" w:w="16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Prior daily</w:t>
            </w:r>
          </w:p>
        </w:tc>
        <w:tc>
          <w:tcPr>
            <w:tcW w:type="dxa" w:w="63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Trend analysis (day-over-day)</w:t>
            </w:r>
          </w:p>
        </w:tc>
      </w:tr>
      <w:tr>
        <w:tc>
          <w:tcPr>
            <w:tcW w:type="dxa" w:w="1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2026-03-25</w:t>
            </w:r>
          </w:p>
        </w:tc>
        <w:tc>
          <w:tcPr>
            <w:tcW w:type="dxa" w:w="1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Prior daily</w:t>
            </w:r>
          </w:p>
        </w:tc>
        <w:tc>
          <w:tcPr>
            <w:tcW w:type="dxa" w:w="6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Trend analysis</w:t>
            </w:r>
          </w:p>
        </w:tc>
      </w:tr>
      <w:tr>
        <w:tc>
          <w:tcPr>
            <w:tcW w:type="dxa" w:w="1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2026-02-27</w:t>
            </w:r>
          </w:p>
        </w:tc>
        <w:tc>
          <w:tcPr>
            <w:tcW w:type="dxa" w:w="16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Monthly</w:t>
            </w:r>
          </w:p>
        </w:tc>
        <w:tc>
          <w:tcPr>
            <w:tcW w:type="dxa" w:w="63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Trend analysis (month-over-month)</w:t>
            </w:r>
          </w:p>
        </w:tc>
      </w:tr>
      <w:tr>
        <w:tc>
          <w:tcPr>
            <w:tcW w:type="dxa" w:w="1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2026-01-27</w:t>
            </w:r>
          </w:p>
        </w:tc>
        <w:tc>
          <w:tcPr>
            <w:tcW w:type="dxa" w:w="1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Monthly</w:t>
            </w:r>
          </w:p>
        </w:tc>
        <w:tc>
          <w:tcPr>
            <w:tcW w:type="dxa" w:w="63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Trend analysis (quarter-over-quarter)</w:t>
            </w:r>
          </w:p>
        </w:tc>
      </w:tr>
    </w:tbl>
    <w:p>
      <w:pPr>
        <w:spacing w:before="200" w:after="0"/>
      </w:pPr>
      <w:r>
        <w:t xml:space="preserve"/>
      </w:r>
    </w:p>
    <w:p>
      <w:pPr>
        <w:pStyle w:val="Heading2"/>
        <w:spacing w:before="280" w:after="100"/>
      </w:pPr>
      <w:r>
        <w:rPr>
          <w:rFonts w:ascii="Arial" w:cs="Arial" w:eastAsia="Arial" w:hAnsi="Arial"/>
          <w:b/>
          <w:bCs/>
          <w:color w:val="2E75B6"/>
          <w:sz w:val="26"/>
          <w:szCs w:val="26"/>
        </w:rPr>
        <w:t xml:space="preserve">7.4  Required Scenarios in the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160"/>
      </w:tblGrid>
      <w:tr>
        <w:trPr>
          <w:tblHeader/>
        </w:trPr>
        <w:tc>
          <w:tcPr>
            <w:tcW w:type="dxa" w:w="24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Scenario</w:t>
            </w:r>
          </w:p>
        </w:tc>
        <w:tc>
          <w:tcPr>
            <w:tcW w:type="dxa" w:w="38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What to Build</w:t>
            </w:r>
          </w:p>
        </w:tc>
        <w:tc>
          <w:tcPr>
            <w:tcW w:type="dxa" w:w="316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Tools Verified</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Clean counterparty</w:t>
            </w:r>
          </w:p>
        </w:tc>
        <w:tc>
          <w:tcPr>
            <w:tcW w:type="dxa" w:w="3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RBC with limits well under exposure (headroom &gt; 0) across 3 products under BCMC</w:t>
            </w:r>
          </w:p>
        </w:tc>
        <w:tc>
          <w:tcPr>
            <w:tcW w:type="dxa" w:w="3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iris_counterparty_dashboard, iris_limit_lookup</w:t>
            </w:r>
          </w:p>
        </w:tc>
      </w:tr>
      <w:tr>
        <w:tc>
          <w:tcPr>
            <w:tcW w:type="dxa" w:w="24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Limit breach — product level</w:t>
            </w:r>
          </w:p>
        </w:tc>
        <w:tc>
          <w:tcPr>
            <w:tcW w:type="dxa" w:w="3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GS: Product Exposure &gt; Product Limit on FX Forward on 2026-03-27</w:t>
            </w:r>
          </w:p>
        </w:tc>
        <w:tc>
          <w:tcPr>
            <w:tcW w:type="dxa" w:w="31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iris_limit_breach_check</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Limit breach — customer level</w:t>
            </w:r>
          </w:p>
        </w:tc>
        <w:tc>
          <w:tcPr>
            <w:tcW w:type="dxa" w:w="3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DB: Cust Exposure &gt; Cust Limit on 2026-03-27</w:t>
            </w:r>
          </w:p>
        </w:tc>
        <w:tc>
          <w:tcPr>
            <w:tcW w:type="dxa" w:w="3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iris_limit_breach_check, iris_portfolio_breach_scan</w:t>
            </w:r>
          </w:p>
        </w:tc>
      </w:tr>
      <w:tr>
        <w:tc>
          <w:tcPr>
            <w:tcW w:type="dxa" w:w="24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Multiple breaches</w:t>
            </w:r>
          </w:p>
        </w:tc>
        <w:tc>
          <w:tcPr>
            <w:tcW w:type="dxa" w:w="3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RISK_CP: 2+ breaches across products on latest date</w:t>
            </w:r>
          </w:p>
        </w:tc>
        <w:tc>
          <w:tcPr>
            <w:tcW w:type="dxa" w:w="31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iris_portfolio_breach_scan with min_overage</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Exposure trend (increasing)</w:t>
            </w:r>
          </w:p>
        </w:tc>
        <w:tc>
          <w:tcPr>
            <w:tcW w:type="dxa" w:w="3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TD: FX Forward exposure increases from Jan → Mar</w:t>
            </w:r>
          </w:p>
        </w:tc>
        <w:tc>
          <w:tcPr>
            <w:tcW w:type="dxa" w:w="3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iris_exposure_trend</w:t>
            </w:r>
          </w:p>
        </w:tc>
      </w:tr>
      <w:tr>
        <w:tc>
          <w:tcPr>
            <w:tcW w:type="dxa" w:w="24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Exposure trend (decreasing)</w:t>
            </w:r>
          </w:p>
        </w:tc>
        <w:tc>
          <w:tcPr>
            <w:tcW w:type="dxa" w:w="3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JPM: Derivative Products exposure decreases over dates</w:t>
            </w:r>
          </w:p>
        </w:tc>
        <w:tc>
          <w:tcPr>
            <w:tcW w:type="dxa" w:w="31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iris_exposure_trend</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Multi-entity counterparty</w:t>
            </w:r>
          </w:p>
        </w:tc>
        <w:tc>
          <w:tcPr>
            <w:tcW w:type="dxa" w:w="3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RBC appears under both BCMC and BMO legal entities</w:t>
            </w:r>
          </w:p>
        </w:tc>
        <w:tc>
          <w:tcPr>
            <w:tcW w:type="dxa" w:w="3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iris_search_counterparties, iris_counterparty_dashboard</w:t>
            </w:r>
          </w:p>
        </w:tc>
      </w:tr>
      <w:tr>
        <w:tc>
          <w:tcPr>
            <w:tcW w:type="dxa" w:w="24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Low-rated counterparty</w:t>
            </w:r>
          </w:p>
        </w:tc>
        <w:tc>
          <w:tcPr>
            <w:tcW w:type="dxa" w:w="3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CS (rating 4) and RISK_CP (rating 3) with high exposure</w:t>
            </w:r>
          </w:p>
        </w:tc>
        <w:tc>
          <w:tcPr>
            <w:tcW w:type="dxa" w:w="31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iris_rating_screen</w:t>
            </w:r>
          </w:p>
        </w:tc>
      </w:tr>
      <w:tr>
        <w:tc>
          <w:tcPr>
            <w:tcW w:type="dxa" w:w="24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Connection group</w:t>
            </w:r>
          </w:p>
        </w:tc>
        <w:tc>
          <w:tcPr>
            <w:tcW w:type="dxa" w:w="3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RBCGRP containing RBC under 2 legal entities</w:t>
            </w:r>
          </w:p>
        </w:tc>
        <w:tc>
          <w:tcPr>
            <w:tcW w:type="dxa" w:w="31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iris_search_counterparties (connection_code)</w:t>
            </w:r>
          </w:p>
        </w:tc>
      </w:tr>
      <w:tr>
        <w:tc>
          <w:tcPr>
            <w:tcW w:type="dxa" w:w="24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CSA and Netting</w:t>
            </w:r>
          </w:p>
        </w:tc>
        <w:tc>
          <w:tcPr>
            <w:tcW w:type="dxa" w:w="3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At least 3 records with CSA Agreement = Y and Netting Agreement = Y</w:t>
            </w:r>
          </w:p>
        </w:tc>
        <w:tc>
          <w:tcPr>
            <w:tcW w:type="dxa" w:w="31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iris_limit_lookup</w:t>
            </w:r>
          </w:p>
        </w:tc>
      </w:tr>
    </w:tbl>
    <w:p>
      <w:pPr>
        <w:spacing w:before="200" w:after="0"/>
      </w:pPr>
      <w:r>
        <w:t xml:space="preserve"/>
      </w:r>
    </w:p>
    <w:p>
      <w:pPr>
        <w:pStyle w:val="Heading2"/>
        <w:spacing w:before="280" w:after="100"/>
      </w:pPr>
      <w:r>
        <w:rPr>
          <w:rFonts w:ascii="Arial" w:cs="Arial" w:eastAsia="Arial" w:hAnsi="Arial"/>
          <w:b/>
          <w:bCs/>
          <w:color w:val="2E75B6"/>
          <w:sz w:val="26"/>
          <w:szCs w:val="26"/>
        </w:rPr>
        <w:t xml:space="preserve">7.5  Column Value Rules</w:t>
      </w:r>
    </w:p>
    <w:p>
      <w:pPr>
        <w:pStyle w:val="ListParagraph"/>
        <w:numPr>
          <w:ilvl w:val="0"/>
          <w:numId w:val="2"/>
        </w:numPr>
        <w:spacing w:before="40" w:after="40"/>
      </w:pPr>
      <w:r>
        <w:rPr>
          <w:rFonts w:ascii="Arial" w:cs="Arial" w:eastAsia="Arial" w:hAnsi="Arial"/>
          <w:sz w:val="22"/>
          <w:szCs w:val="22"/>
        </w:rPr>
        <w:t xml:space="preserve">Limits must be positive numeric values (no negatives)</w:t>
      </w:r>
    </w:p>
    <w:p>
      <w:pPr>
        <w:pStyle w:val="ListParagraph"/>
        <w:numPr>
          <w:ilvl w:val="0"/>
          <w:numId w:val="2"/>
        </w:numPr>
        <w:spacing w:before="40" w:after="40"/>
      </w:pPr>
      <w:r>
        <w:rPr>
          <w:rFonts w:ascii="Arial" w:cs="Arial" w:eastAsia="Arial" w:hAnsi="Arial"/>
          <w:sz w:val="22"/>
          <w:szCs w:val="22"/>
        </w:rPr>
        <w:t xml:space="preserve">Exposure must be &lt;= Limit for clean counterparties (headroom &gt;= 0)</w:t>
      </w:r>
    </w:p>
    <w:p>
      <w:pPr>
        <w:pStyle w:val="ListParagraph"/>
        <w:numPr>
          <w:ilvl w:val="0"/>
          <w:numId w:val="2"/>
        </w:numPr>
        <w:spacing w:before="40" w:after="40"/>
      </w:pPr>
      <w:r>
        <w:rPr>
          <w:rFonts w:ascii="Arial" w:cs="Arial" w:eastAsia="Arial" w:hAnsi="Arial"/>
          <w:sz w:val="22"/>
          <w:szCs w:val="22"/>
        </w:rPr>
        <w:t xml:space="preserve">Exposure must exceed Limit for breach scenarios</w:t>
      </w:r>
    </w:p>
    <w:p>
      <w:pPr>
        <w:pStyle w:val="ListParagraph"/>
        <w:numPr>
          <w:ilvl w:val="0"/>
          <w:numId w:val="2"/>
        </w:numPr>
        <w:spacing w:before="40" w:after="40"/>
      </w:pPr>
      <w:r>
        <w:rPr>
          <w:rFonts w:ascii="Arial" w:cs="Arial" w:eastAsia="Arial" w:hAnsi="Arial"/>
          <w:sz w:val="22"/>
          <w:szCs w:val="22"/>
        </w:rPr>
        <w:t xml:space="preserve">Avail columns = Limit - Exposure (can be negative for breaches)</w:t>
      </w:r>
    </w:p>
    <w:p>
      <w:pPr>
        <w:pStyle w:val="ListParagraph"/>
        <w:numPr>
          <w:ilvl w:val="0"/>
          <w:numId w:val="2"/>
        </w:numPr>
        <w:spacing w:before="40" w:after="40"/>
      </w:pPr>
      <w:r>
        <w:rPr>
          <w:rFonts w:ascii="Arial" w:cs="Arial" w:eastAsia="Arial" w:hAnsi="Arial"/>
          <w:sz w:val="22"/>
          <w:szCs w:val="22"/>
        </w:rPr>
        <w:t xml:space="preserve">Currencies: use CAD for Canadian entities, USD for US entities</w:t>
      </w:r>
    </w:p>
    <w:p>
      <w:pPr>
        <w:pStyle w:val="ListParagraph"/>
        <w:numPr>
          <w:ilvl w:val="0"/>
          <w:numId w:val="2"/>
        </w:numPr>
        <w:spacing w:before="40" w:after="40"/>
      </w:pPr>
      <w:r>
        <w:rPr>
          <w:rFonts w:ascii="Arial" w:cs="Arial" w:eastAsia="Arial" w:hAnsi="Arial"/>
          <w:sz w:val="22"/>
          <w:szCs w:val="22"/>
        </w:rPr>
        <w:t xml:space="preserve">Internal Rating: integer 1-10 (10 = best, 1 = worst)</w:t>
      </w:r>
    </w:p>
    <w:p>
      <w:pPr>
        <w:pStyle w:val="ListParagraph"/>
        <w:numPr>
          <w:ilvl w:val="0"/>
          <w:numId w:val="2"/>
        </w:numPr>
        <w:spacing w:before="40" w:after="40"/>
      </w:pPr>
      <w:r>
        <w:rPr>
          <w:rFonts w:ascii="Arial" w:cs="Arial" w:eastAsia="Arial" w:hAnsi="Arial"/>
          <w:sz w:val="22"/>
          <w:szCs w:val="22"/>
        </w:rPr>
        <w:t xml:space="preserve">Country Rating: use S&amp;P-style codes: AAA, AA, A, BBB, BB, B, CCC</w:t>
      </w:r>
    </w:p>
    <w:p>
      <w:pPr>
        <w:pStyle w:val="ListParagraph"/>
        <w:numPr>
          <w:ilvl w:val="0"/>
          <w:numId w:val="2"/>
        </w:numPr>
        <w:spacing w:before="40" w:after="40"/>
      </w:pPr>
      <w:r>
        <w:rPr>
          <w:rFonts w:ascii="Arial" w:cs="Arial" w:eastAsia="Arial" w:hAnsi="Arial"/>
          <w:sz w:val="22"/>
          <w:szCs w:val="22"/>
        </w:rPr>
        <w:t xml:space="preserve">Term End Date: future dates in YYYY-MM-DD format</w:t>
      </w:r>
    </w:p>
    <w:p>
      <w:pPr>
        <w:pStyle w:val="ListParagraph"/>
        <w:numPr>
          <w:ilvl w:val="0"/>
          <w:numId w:val="2"/>
        </w:numPr>
        <w:spacing w:before="40" w:after="40"/>
      </w:pPr>
      <w:r>
        <w:rPr>
          <w:rFonts w:ascii="Arial" w:cs="Arial" w:eastAsia="Arial" w:hAnsi="Arial"/>
          <w:sz w:val="22"/>
          <w:szCs w:val="22"/>
        </w:rPr>
        <w:t xml:space="preserve">Encoding: save all CSV files as latin1</w:t>
      </w:r>
    </w:p>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280"/>
              <w:bottom w:type="dxa" w:w="200"/>
              <w:right w:type="dxa" w:w="280"/>
            </w:tcMar>
          </w:tcPr>
          <w:p>
            <w:r>
              <w:rPr>
                <w:rFonts w:ascii="Arial" w:cs="Arial" w:eastAsia="Arial" w:hAnsi="Arial"/>
                <w:b/>
                <w:bCs/>
                <w:color w:val="8899BB"/>
                <w:sz w:val="56"/>
                <w:szCs w:val="56"/>
              </w:rPr>
              <w:t xml:space="preserve">08</w:t>
            </w:r>
            <w:r>
              <w:rPr>
                <w:rFonts w:ascii="Arial" w:cs="Arial" w:eastAsia="Arial" w:hAnsi="Arial"/>
                <w:b/>
                <w:bCs/>
                <w:color w:val="FFFFFF"/>
                <w:sz w:val="32"/>
                <w:szCs w:val="32"/>
              </w:rPr>
              <w:t xml:space="preserve">   Web UI &amp; RBAC Requirements</w:t>
            </w:r>
          </w:p>
          <w:p>
            <w:r>
              <w:rPr>
                <w:rFonts w:ascii="Arial" w:cs="Arial" w:eastAsia="Arial" w:hAnsi="Arial"/>
                <w:i/>
                <w:iCs/>
                <w:color w:val="AACFEE"/>
                <w:sz w:val="20"/>
                <w:szCs w:val="20"/>
              </w:rPr>
              <w:t xml:space="preserve">Tool visibility, forms, and user access</w:t>
            </w:r>
          </w:p>
        </w:tc>
      </w:tr>
    </w:tbl>
    <w:p>
      <w:pPr>
        <w:spacing w:before="240" w:after="0"/>
      </w:pPr>
      <w:r>
        <w:t xml:space="preserve"/>
      </w:r>
    </w:p>
    <w:p>
      <w:pPr>
        <w:pStyle w:val="Heading2"/>
        <w:spacing w:before="280" w:after="100"/>
      </w:pPr>
      <w:r>
        <w:rPr>
          <w:rFonts w:ascii="Arial" w:cs="Arial" w:eastAsia="Arial" w:hAnsi="Arial"/>
          <w:b/>
          <w:bCs/>
          <w:color w:val="2E75B6"/>
          <w:sz w:val="26"/>
          <w:szCs w:val="26"/>
        </w:rPr>
        <w:t xml:space="preserve">8.1  Web UI</w:t>
      </w:r>
    </w:p>
    <w:p>
      <w:pPr>
        <w:pStyle w:val="ListParagraph"/>
        <w:numPr>
          <w:ilvl w:val="0"/>
          <w:numId w:val="2"/>
        </w:numPr>
        <w:spacing w:before="40" w:after="40"/>
      </w:pPr>
      <w:r>
        <w:rPr>
          <w:rFonts w:ascii="Arial" w:cs="Arial" w:eastAsia="Arial" w:hAnsi="Arial"/>
          <w:sz w:val="22"/>
          <w:szCs w:val="22"/>
        </w:rPr>
        <w:t xml:space="preserve">All 9 tools must be visible in the SAJHA /tools endpoint</w:t>
      </w:r>
    </w:p>
    <w:p>
      <w:pPr>
        <w:pStyle w:val="ListParagraph"/>
        <w:numPr>
          <w:ilvl w:val="0"/>
          <w:numId w:val="2"/>
        </w:numPr>
        <w:spacing w:before="40" w:after="40"/>
      </w:pPr>
      <w:r>
        <w:rPr>
          <w:rFonts w:ascii="Arial" w:cs="Arial" w:eastAsia="Arial" w:hAnsi="Arial"/>
          <w:sz w:val="22"/>
          <w:szCs w:val="22"/>
        </w:rPr>
        <w:t xml:space="preserve">Auto-generated forms must render for each tool</w:t>
      </w:r>
    </w:p>
    <w:p>
      <w:pPr>
        <w:pStyle w:val="ListParagraph"/>
        <w:numPr>
          <w:ilvl w:val="0"/>
          <w:numId w:val="2"/>
        </w:numPr>
        <w:spacing w:before="40" w:after="40"/>
      </w:pPr>
      <w:r>
        <w:rPr>
          <w:rFonts w:ascii="Arial" w:cs="Arial" w:eastAsia="Arial" w:hAnsi="Arial"/>
          <w:sz w:val="22"/>
          <w:szCs w:val="22"/>
        </w:rPr>
        <w:t xml:space="preserve">legal_entity field must render as a dropdown with the 10 enum values</w:t>
      </w:r>
    </w:p>
    <w:p>
      <w:pPr>
        <w:pStyle w:val="ListParagraph"/>
        <w:numPr>
          <w:ilvl w:val="0"/>
          <w:numId w:val="2"/>
        </w:numPr>
        <w:spacing w:before="40" w:after="40"/>
      </w:pPr>
      <w:r>
        <w:rPr>
          <w:rFonts w:ascii="Arial" w:cs="Arial" w:eastAsia="Arial" w:hAnsi="Arial"/>
          <w:sz w:val="22"/>
          <w:szCs w:val="22"/>
        </w:rPr>
        <w:t xml:space="preserve">level field must render as dropdown: product / customer / connection</w:t>
      </w:r>
    </w:p>
    <w:p>
      <w:pPr>
        <w:pStyle w:val="ListParagraph"/>
        <w:numPr>
          <w:ilvl w:val="0"/>
          <w:numId w:val="2"/>
        </w:numPr>
        <w:spacing w:before="40" w:after="40"/>
      </w:pPr>
      <w:r>
        <w:rPr>
          <w:rFonts w:ascii="Arial" w:cs="Arial" w:eastAsia="Arial" w:hAnsi="Arial"/>
          <w:sz w:val="22"/>
          <w:szCs w:val="22"/>
        </w:rPr>
        <w:t xml:space="preserve">group_by field must render as dropdown: rating / country / legal_entity / product</w:t>
      </w:r>
    </w:p>
    <w:p>
      <w:pPr>
        <w:pStyle w:val="ListParagraph"/>
        <w:numPr>
          <w:ilvl w:val="0"/>
          <w:numId w:val="2"/>
        </w:numPr>
        <w:spacing w:before="40" w:after="40"/>
      </w:pPr>
      <w:r>
        <w:rPr>
          <w:rFonts w:ascii="Arial" w:cs="Arial" w:eastAsia="Arial" w:hAnsi="Arial"/>
          <w:sz w:val="22"/>
          <w:szCs w:val="22"/>
        </w:rPr>
        <w:t xml:space="preserve">Field descriptions from JSON config must be shown inline</w:t>
      </w:r>
    </w:p>
    <w:p>
      <w:pPr>
        <w:pStyle w:val="ListParagraph"/>
        <w:numPr>
          <w:ilvl w:val="0"/>
          <w:numId w:val="2"/>
        </w:numPr>
        <w:spacing w:before="40" w:after="40"/>
      </w:pPr>
      <w:r>
        <w:rPr>
          <w:rFonts w:ascii="Arial" w:cs="Arial" w:eastAsia="Arial" w:hAnsi="Arial"/>
          <w:sz w:val="22"/>
          <w:szCs w:val="22"/>
        </w:rPr>
        <w:t xml:space="preserve">Literature panel must auto-load for each IRIS tool</w:t>
      </w:r>
    </w:p>
    <w:p>
      <w:pPr>
        <w:spacing w:before="200" w:after="0"/>
      </w:pPr>
      <w:r>
        <w:t xml:space="preserve"/>
      </w:r>
    </w:p>
    <w:p>
      <w:pPr>
        <w:pStyle w:val="Heading2"/>
        <w:spacing w:before="280" w:after="100"/>
      </w:pPr>
      <w:r>
        <w:rPr>
          <w:rFonts w:ascii="Arial" w:cs="Arial" w:eastAsia="Arial" w:hAnsi="Arial"/>
          <w:b/>
          <w:bCs/>
          <w:color w:val="2E75B6"/>
          <w:sz w:val="26"/>
          <w:szCs w:val="26"/>
        </w:rPr>
        <w:t xml:space="preserve">8.2  RBAC — config/users.json</w:t>
      </w:r>
    </w:p>
    <w:p>
      <w:pPr>
        <w:spacing w:before="60" w:after="80"/>
      </w:pPr>
      <w:r>
        <w:rPr>
          <w:rFonts w:ascii="Arial" w:cs="Arial" w:eastAsia="Arial" w:hAnsi="Arial"/>
          <w:sz w:val="22"/>
          <w:szCs w:val="22"/>
        </w:rPr>
        <w:t xml:space="preserve">The risk_agent user must have all 9 IRIS tool names in its tools[] access list:</w:t>
      </w:r>
    </w:p>
    <w:p>
      <w:pPr>
        <w:spacing w:before="80" w:after="0"/>
      </w:pPr>
      <w:r>
        <w:t xml:space="preserve"/>
      </w:r>
    </w:p>
    <w:p>
      <w:pPr>
        <w:shd w:fill="F0F0F0" w:val="clear"/>
        <w:spacing w:before="40" w:after="40"/>
        <w:ind w:left="360"/>
      </w:pPr>
      <w:r>
        <w:rPr>
          <w:rFonts w:ascii="Courier New" w:cs="Courier New" w:eastAsia="Courier New" w:hAnsi="Courier New"/>
          <w:color w:val="333333"/>
          <w:sz w:val="19"/>
          <w:szCs w:val="19"/>
        </w:rPr>
        <w:t xml:space="preserve">"tools": [</w:t>
      </w:r>
    </w:p>
    <w:p>
      <w:pPr>
        <w:shd w:fill="F0F0F0" w:val="clear"/>
        <w:spacing w:before="40" w:after="40"/>
        <w:ind w:left="360"/>
      </w:pPr>
      <w:r>
        <w:rPr>
          <w:rFonts w:ascii="Courier New" w:cs="Courier New" w:eastAsia="Courier New" w:hAnsi="Courier New"/>
          <w:color w:val="333333"/>
          <w:sz w:val="19"/>
          <w:szCs w:val="19"/>
        </w:rPr>
        <w:t xml:space="preserve">  "iris_list_dates",</w:t>
      </w:r>
    </w:p>
    <w:p>
      <w:pPr>
        <w:shd w:fill="F0F0F0" w:val="clear"/>
        <w:spacing w:before="40" w:after="40"/>
        <w:ind w:left="360"/>
      </w:pPr>
      <w:r>
        <w:rPr>
          <w:rFonts w:ascii="Courier New" w:cs="Courier New" w:eastAsia="Courier New" w:hAnsi="Courier New"/>
          <w:color w:val="333333"/>
          <w:sz w:val="19"/>
          <w:szCs w:val="19"/>
        </w:rPr>
        <w:t xml:space="preserve">  "iris_search_counterparties",</w:t>
      </w:r>
    </w:p>
    <w:p>
      <w:pPr>
        <w:shd w:fill="F0F0F0" w:val="clear"/>
        <w:spacing w:before="40" w:after="40"/>
        <w:ind w:left="360"/>
      </w:pPr>
      <w:r>
        <w:rPr>
          <w:rFonts w:ascii="Courier New" w:cs="Courier New" w:eastAsia="Courier New" w:hAnsi="Courier New"/>
          <w:color w:val="333333"/>
          <w:sz w:val="19"/>
          <w:szCs w:val="19"/>
        </w:rPr>
        <w:t xml:space="preserve">  "iris_counterparty_dashboard",</w:t>
      </w:r>
    </w:p>
    <w:p>
      <w:pPr>
        <w:shd w:fill="F0F0F0" w:val="clear"/>
        <w:spacing w:before="40" w:after="40"/>
        <w:ind w:left="360"/>
      </w:pPr>
      <w:r>
        <w:rPr>
          <w:rFonts w:ascii="Courier New" w:cs="Courier New" w:eastAsia="Courier New" w:hAnsi="Courier New"/>
          <w:color w:val="333333"/>
          <w:sz w:val="19"/>
          <w:szCs w:val="19"/>
        </w:rPr>
        <w:t xml:space="preserve">  "iris_limit_lookup",</w:t>
      </w:r>
    </w:p>
    <w:p>
      <w:pPr>
        <w:shd w:fill="F0F0F0" w:val="clear"/>
        <w:spacing w:before="40" w:after="40"/>
        <w:ind w:left="360"/>
      </w:pPr>
      <w:r>
        <w:rPr>
          <w:rFonts w:ascii="Courier New" w:cs="Courier New" w:eastAsia="Courier New" w:hAnsi="Courier New"/>
          <w:color w:val="333333"/>
          <w:sz w:val="19"/>
          <w:szCs w:val="19"/>
        </w:rPr>
        <w:t xml:space="preserve">  "iris_limit_breach_check",</w:t>
      </w:r>
    </w:p>
    <w:p>
      <w:pPr>
        <w:shd w:fill="F0F0F0" w:val="clear"/>
        <w:spacing w:before="40" w:after="40"/>
        <w:ind w:left="360"/>
      </w:pPr>
      <w:r>
        <w:rPr>
          <w:rFonts w:ascii="Courier New" w:cs="Courier New" w:eastAsia="Courier New" w:hAnsi="Courier New"/>
          <w:color w:val="333333"/>
          <w:sz w:val="19"/>
          <w:szCs w:val="19"/>
        </w:rPr>
        <w:t xml:space="preserve">  "iris_exposure_trend",</w:t>
      </w:r>
    </w:p>
    <w:p>
      <w:pPr>
        <w:shd w:fill="F0F0F0" w:val="clear"/>
        <w:spacing w:before="40" w:after="40"/>
        <w:ind w:left="360"/>
      </w:pPr>
      <w:r>
        <w:rPr>
          <w:rFonts w:ascii="Courier New" w:cs="Courier New" w:eastAsia="Courier New" w:hAnsi="Courier New"/>
          <w:color w:val="333333"/>
          <w:sz w:val="19"/>
          <w:szCs w:val="19"/>
        </w:rPr>
        <w:t xml:space="preserve">  "iris_multi_counterparty_comparison",</w:t>
      </w:r>
    </w:p>
    <w:p>
      <w:pPr>
        <w:shd w:fill="F0F0F0" w:val="clear"/>
        <w:spacing w:before="40" w:after="40"/>
        <w:ind w:left="360"/>
      </w:pPr>
      <w:r>
        <w:rPr>
          <w:rFonts w:ascii="Courier New" w:cs="Courier New" w:eastAsia="Courier New" w:hAnsi="Courier New"/>
          <w:color w:val="333333"/>
          <w:sz w:val="19"/>
          <w:szCs w:val="19"/>
        </w:rPr>
        <w:t xml:space="preserve">  "iris_portfolio_breach_scan",</w:t>
      </w:r>
    </w:p>
    <w:p>
      <w:pPr>
        <w:shd w:fill="F0F0F0" w:val="clear"/>
        <w:spacing w:before="40" w:after="40"/>
        <w:ind w:left="360"/>
      </w:pPr>
      <w:r>
        <w:rPr>
          <w:rFonts w:ascii="Courier New" w:cs="Courier New" w:eastAsia="Courier New" w:hAnsi="Courier New"/>
          <w:color w:val="333333"/>
          <w:sz w:val="19"/>
          <w:szCs w:val="19"/>
        </w:rPr>
        <w:t xml:space="preserve">  "iris_rating_screen"</w:t>
      </w:r>
    </w:p>
    <w:p>
      <w:pPr>
        <w:shd w:fill="F0F0F0" w:val="clear"/>
        <w:spacing w:before="40" w:after="40"/>
        <w:ind w:left="360"/>
      </w:pPr>
      <w:r>
        <w:rPr>
          <w:rFonts w:ascii="Courier New" w:cs="Courier New" w:eastAsia="Courier New" w:hAnsi="Courier New"/>
          <w:color w:val="333333"/>
          <w:sz w:val="19"/>
          <w:szCs w:val="19"/>
        </w:rPr>
        <w:t xml:space="preserve">]</w:t>
      </w:r>
    </w:p>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280"/>
              <w:bottom w:type="dxa" w:w="200"/>
              <w:right w:type="dxa" w:w="280"/>
            </w:tcMar>
          </w:tcPr>
          <w:p>
            <w:r>
              <w:rPr>
                <w:rFonts w:ascii="Arial" w:cs="Arial" w:eastAsia="Arial" w:hAnsi="Arial"/>
                <w:b/>
                <w:bCs/>
                <w:color w:val="8899BB"/>
                <w:sz w:val="56"/>
                <w:szCs w:val="56"/>
              </w:rPr>
              <w:t xml:space="preserve">09</w:t>
            </w:r>
            <w:r>
              <w:rPr>
                <w:rFonts w:ascii="Arial" w:cs="Arial" w:eastAsia="Arial" w:hAnsi="Arial"/>
                <w:b/>
                <w:bCs/>
                <w:color w:val="FFFFFF"/>
                <w:sz w:val="32"/>
                <w:szCs w:val="32"/>
              </w:rPr>
              <w:t xml:space="preserve">   Acceptance Criteria</w:t>
            </w:r>
          </w:p>
          <w:p>
            <w:r>
              <w:rPr>
                <w:rFonts w:ascii="Arial" w:cs="Arial" w:eastAsia="Arial" w:hAnsi="Arial"/>
                <w:i/>
                <w:iCs/>
                <w:color w:val="AACFEE"/>
                <w:sz w:val="20"/>
                <w:szCs w:val="20"/>
              </w:rPr>
              <w:t xml:space="preserve">All criteria must pass before build is complete</w:t>
            </w:r>
          </w:p>
        </w:tc>
      </w:tr>
    </w:tbl>
    <w:p>
      <w:pPr>
        <w:spacing w:before="240" w:after="0"/>
      </w:pPr>
      <w:r>
        <w:t xml:space="preserve"/>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5660"/>
        <w:gridCol w:w="1800"/>
      </w:tblGrid>
      <w:tr>
        <w:trPr>
          <w:tblHeader/>
        </w:trPr>
        <w:tc>
          <w:tcPr>
            <w:tcW w:type="dxa" w:w="9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AC</w:t>
            </w:r>
          </w:p>
        </w:tc>
        <w:tc>
          <w:tcPr>
            <w:tcW w:type="dxa" w:w="566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Criteria</w:t>
            </w:r>
          </w:p>
        </w:tc>
        <w:tc>
          <w:tcPr>
            <w:tcW w:type="dxa" w:w="18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Tool(s)</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AC-01</w:t>
            </w:r>
          </w:p>
        </w:tc>
        <w:tc>
          <w:tcPr>
            <w:tcW w:type="dxa" w:w="56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All 9 tools appear in /tools/list endpoint</w:t>
            </w:r>
          </w:p>
        </w:tc>
        <w:tc>
          <w:tcPr>
            <w:tcW w:type="dxa" w:w="1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All</w:t>
            </w:r>
          </w:p>
        </w:tc>
      </w:tr>
      <w:tr>
        <w:tc>
          <w:tcPr>
            <w:tcW w:type="dxa" w:w="9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AC-02</w:t>
            </w:r>
          </w:p>
        </w:tc>
        <w:tc>
          <w:tcPr>
            <w:tcW w:type="dxa" w:w="56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iris_list_dates returns exactly the dates in the test CSV</w:t>
            </w:r>
          </w:p>
        </w:tc>
        <w:tc>
          <w:tcPr>
            <w:tcW w:type="dxa" w:w="1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Tool 1</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AC-03</w:t>
            </w:r>
          </w:p>
        </w:tc>
        <w:tc>
          <w:tcPr>
            <w:tcW w:type="dxa" w:w="56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iris_search_counterparties finds 'Royal Bank' by partial name</w:t>
            </w:r>
          </w:p>
        </w:tc>
        <w:tc>
          <w:tcPr>
            <w:tcW w:type="dxa" w:w="1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Tool 2</w:t>
            </w:r>
          </w:p>
        </w:tc>
      </w:tr>
      <w:tr>
        <w:tc>
          <w:tcPr>
            <w:tcW w:type="dxa" w:w="9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AC-04</w:t>
            </w:r>
          </w:p>
        </w:tc>
        <w:tc>
          <w:tcPr>
            <w:tcW w:type="dxa" w:w="56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iris_counterparty_dashboard returns all 42 columns for RBC on latest date</w:t>
            </w:r>
          </w:p>
        </w:tc>
        <w:tc>
          <w:tcPr>
            <w:tcW w:type="dxa" w:w="1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Tool 3</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AC-05</w:t>
            </w:r>
          </w:p>
        </w:tc>
        <w:tc>
          <w:tcPr>
            <w:tcW w:type="dxa" w:w="56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iris_limit_lookup returns correct limit_key for RBC / BCMC / FX Forward</w:t>
            </w:r>
          </w:p>
        </w:tc>
        <w:tc>
          <w:tcPr>
            <w:tcW w:type="dxa" w:w="1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Tool 4</w:t>
            </w:r>
          </w:p>
        </w:tc>
      </w:tr>
      <w:tr>
        <w:tc>
          <w:tcPr>
            <w:tcW w:type="dxa" w:w="9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AC-06</w:t>
            </w:r>
          </w:p>
        </w:tc>
        <w:tc>
          <w:tcPr>
            <w:tcW w:type="dxa" w:w="56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iris_limit_breach_check correctly flags GS FX Forward breach</w:t>
            </w:r>
          </w:p>
        </w:tc>
        <w:tc>
          <w:tcPr>
            <w:tcW w:type="dxa" w:w="1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Tool 5</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AC-07</w:t>
            </w:r>
          </w:p>
        </w:tc>
        <w:tc>
          <w:tcPr>
            <w:tcW w:type="dxa" w:w="56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iris_exposure_trend shows increasing exposure for TD from Jan to Mar</w:t>
            </w:r>
          </w:p>
        </w:tc>
        <w:tc>
          <w:tcPr>
            <w:tcW w:type="dxa" w:w="1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Tool 6</w:t>
            </w:r>
          </w:p>
        </w:tc>
      </w:tr>
      <w:tr>
        <w:tc>
          <w:tcPr>
            <w:tcW w:type="dxa" w:w="9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AC-08</w:t>
            </w:r>
          </w:p>
        </w:tc>
        <w:tc>
          <w:tcPr>
            <w:tcW w:type="dxa" w:w="56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iris_multi_counterparty_comparison returns side-by-side rows for RBC and TD</w:t>
            </w:r>
          </w:p>
        </w:tc>
        <w:tc>
          <w:tcPr>
            <w:tcW w:type="dxa" w:w="1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Tool 7</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AC-09</w:t>
            </w:r>
          </w:p>
        </w:tc>
        <w:tc>
          <w:tcPr>
            <w:tcW w:type="dxa" w:w="56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iris_portfolio_breach_scan with min_overage=1000000 returns DB and RISK_CP breaches</w:t>
            </w:r>
          </w:p>
        </w:tc>
        <w:tc>
          <w:tcPr>
            <w:tcW w:type="dxa" w:w="1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Tool 8</w:t>
            </w:r>
          </w:p>
        </w:tc>
      </w:tr>
      <w:tr>
        <w:tc>
          <w:tcPr>
            <w:tcW w:type="dxa" w:w="9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AC-10</w:t>
            </w:r>
          </w:p>
        </w:tc>
        <w:tc>
          <w:tcPr>
            <w:tcW w:type="dxa" w:w="56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iris_portfolio_breach_scan rejects call with missing min_overage</w:t>
            </w:r>
          </w:p>
        </w:tc>
        <w:tc>
          <w:tcPr>
            <w:tcW w:type="dxa" w:w="1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Tool 8</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AC-11</w:t>
            </w:r>
          </w:p>
        </w:tc>
        <w:tc>
          <w:tcPr>
            <w:tcW w:type="dxa" w:w="56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iris_rating_screen returns CS and RISK_CP when max_rating=4</w:t>
            </w:r>
          </w:p>
        </w:tc>
        <w:tc>
          <w:tcPr>
            <w:tcW w:type="dxa" w:w="1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Tool 9</w:t>
            </w:r>
          </w:p>
        </w:tc>
      </w:tr>
      <w:tr>
        <w:tc>
          <w:tcPr>
            <w:tcW w:type="dxa" w:w="9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AC-12</w:t>
            </w:r>
          </w:p>
        </w:tc>
        <w:tc>
          <w:tcPr>
            <w:tcW w:type="dxa" w:w="56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No encoding errors when loading latin1 CSV</w:t>
            </w:r>
          </w:p>
        </w:tc>
        <w:tc>
          <w:tcPr>
            <w:tcW w:type="dxa" w:w="1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All</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AC-13</w:t>
            </w:r>
          </w:p>
        </w:tc>
        <w:tc>
          <w:tcPr>
            <w:tcW w:type="dxa" w:w="56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NaN values appear as null (not NaN) in all JSON responses</w:t>
            </w:r>
          </w:p>
        </w:tc>
        <w:tc>
          <w:tcPr>
            <w:tcW w:type="dxa" w:w="1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All</w:t>
            </w:r>
          </w:p>
        </w:tc>
      </w:tr>
      <w:tr>
        <w:tc>
          <w:tcPr>
            <w:tcW w:type="dxa" w:w="9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AC-14</w:t>
            </w:r>
          </w:p>
        </w:tc>
        <w:tc>
          <w:tcPr>
            <w:tcW w:type="dxa" w:w="56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Invalid date returns structured error with valid dates listed</w:t>
            </w:r>
          </w:p>
        </w:tc>
        <w:tc>
          <w:tcPr>
            <w:tcW w:type="dxa" w:w="1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All</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AC-15</w:t>
            </w:r>
          </w:p>
        </w:tc>
        <w:tc>
          <w:tcPr>
            <w:tcW w:type="dxa" w:w="56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Invalid legal_entity returns structured error with valid enum values</w:t>
            </w:r>
          </w:p>
        </w:tc>
        <w:tc>
          <w:tcPr>
            <w:tcW w:type="dxa" w:w="1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Tools 3-9</w:t>
            </w:r>
          </w:p>
        </w:tc>
      </w:tr>
      <w:tr>
        <w:tc>
          <w:tcPr>
            <w:tcW w:type="dxa" w:w="9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AC-16</w:t>
            </w:r>
          </w:p>
        </w:tc>
        <w:tc>
          <w:tcPr>
            <w:tcW w:type="dxa" w:w="56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CSV is loaded once at module level (not per call)</w:t>
            </w:r>
          </w:p>
        </w:tc>
        <w:tc>
          <w:tcPr>
            <w:tcW w:type="dxa" w:w="1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All</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AC-17</w:t>
            </w:r>
          </w:p>
        </w:tc>
        <w:tc>
          <w:tcPr>
            <w:tcW w:type="dxa" w:w="56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All JSON configs contain complete metadata block</w:t>
            </w:r>
          </w:p>
        </w:tc>
        <w:tc>
          <w:tcPr>
            <w:tcW w:type="dxa" w:w="1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All</w:t>
            </w:r>
          </w:p>
        </w:tc>
      </w:tr>
      <w:tr>
        <w:tc>
          <w:tcPr>
            <w:tcW w:type="dxa" w:w="9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AC-18</w:t>
            </w:r>
          </w:p>
        </w:tc>
        <w:tc>
          <w:tcPr>
            <w:tcW w:type="dxa" w:w="56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Literature files exist and are loaded in SAJHA</w:t>
            </w:r>
          </w:p>
        </w:tc>
        <w:tc>
          <w:tcPr>
            <w:tcW w:type="dxa" w:w="1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All</w:t>
            </w:r>
          </w:p>
        </w:tc>
      </w:tr>
      <w:tr>
        <w:tc>
          <w:tcPr>
            <w:tcW w:type="dxa" w:w="9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AC-19</w:t>
            </w:r>
          </w:p>
        </w:tc>
        <w:tc>
          <w:tcPr>
            <w:tcW w:type="dxa" w:w="56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legal_entity renders as dropdown in Web UI</w:t>
            </w:r>
          </w:p>
        </w:tc>
        <w:tc>
          <w:tcPr>
            <w:tcW w:type="dxa" w:w="18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All</w:t>
            </w:r>
          </w:p>
        </w:tc>
      </w:tr>
      <w:tr>
        <w:tc>
          <w:tcPr>
            <w:tcW w:type="dxa" w:w="9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AC-20</w:t>
            </w:r>
          </w:p>
        </w:tc>
        <w:tc>
          <w:tcPr>
            <w:tcW w:type="dxa" w:w="56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risk_agent user can call all 9 tools; blocked from non-IRIS tools</w:t>
            </w:r>
          </w:p>
        </w:tc>
        <w:tc>
          <w:tcPr>
            <w:tcW w:type="dxa" w:w="18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All</w:t>
            </w:r>
          </w:p>
        </w:tc>
      </w:tr>
    </w:tbl>
    <w:p>
      <w:pPr>
        <w:spacing w:before="200" w:after="0"/>
      </w:pPr>
      <w:r>
        <w:t xml:space="preserve"/>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200"/>
              <w:left w:type="dxa" w:w="280"/>
              <w:bottom w:type="dxa" w:w="200"/>
              <w:right w:type="dxa" w:w="280"/>
            </w:tcMar>
          </w:tcPr>
          <w:p>
            <w:r>
              <w:rPr>
                <w:rFonts w:ascii="Arial" w:cs="Arial" w:eastAsia="Arial" w:hAnsi="Arial"/>
                <w:b/>
                <w:bCs/>
                <w:color w:val="8899BB"/>
                <w:sz w:val="56"/>
                <w:szCs w:val="56"/>
              </w:rPr>
              <w:t xml:space="preserve">10</w:t>
            </w:r>
            <w:r>
              <w:rPr>
                <w:rFonts w:ascii="Arial" w:cs="Arial" w:eastAsia="Arial" w:hAnsi="Arial"/>
                <w:b/>
                <w:bCs/>
                <w:color w:val="FFFFFF"/>
                <w:sz w:val="32"/>
                <w:szCs w:val="32"/>
              </w:rPr>
              <w:t xml:space="preserve">   Deliverables Checklist</w:t>
            </w:r>
          </w:p>
          <w:p>
            <w:r>
              <w:rPr>
                <w:rFonts w:ascii="Arial" w:cs="Arial" w:eastAsia="Arial" w:hAnsi="Arial"/>
                <w:i/>
                <w:iCs/>
                <w:color w:val="AACFEE"/>
                <w:sz w:val="20"/>
                <w:szCs w:val="20"/>
              </w:rPr>
              <w:t xml:space="preserve">Everything required for a complete, production-ready build</w:t>
            </w:r>
          </w:p>
        </w:tc>
      </w:tr>
    </w:tbl>
    <w:p>
      <w:pPr>
        <w:spacing w:before="2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4000"/>
        <w:gridCol w:w="4760"/>
      </w:tblGrid>
      <w:tr>
        <w:trPr>
          <w:tblHeader/>
        </w:trPr>
        <w:tc>
          <w:tcPr>
            <w:tcW w:type="dxa" w:w="6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w:t>
            </w:r>
          </w:p>
        </w:tc>
        <w:tc>
          <w:tcPr>
            <w:tcW w:type="dxa" w:w="400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Deliverable</w:t>
            </w:r>
          </w:p>
        </w:tc>
        <w:tc>
          <w:tcPr>
            <w:tcW w:type="dxa" w:w="4760"/>
            <w:tcBorders>
              <w:top w:val="single" w:color="BDD7EE" w:sz="1"/>
              <w:left w:val="single" w:color="BDD7EE" w:sz="1"/>
              <w:bottom w:val="single" w:color="BDD7EE" w:sz="1"/>
              <w:right w:val="single" w:color="BDD7EE" w:sz="1"/>
            </w:tcBorders>
            <w:shd w:fill="1F3864" w:val="clear"/>
            <w:tcMar>
              <w:top w:type="dxa" w:w="100"/>
              <w:left w:type="dxa" w:w="150"/>
              <w:bottom w:type="dxa" w:w="100"/>
              <w:right w:type="dxa" w:w="150"/>
            </w:tcMar>
            <w:vAlign w:val="center"/>
          </w:tcPr>
          <w:p>
            <w:r>
              <w:rPr>
                <w:rFonts w:ascii="Arial" w:cs="Arial" w:eastAsia="Arial" w:hAnsi="Arial"/>
                <w:b/>
                <w:bCs/>
                <w:color w:val="FFFFFF"/>
                <w:sz w:val="20"/>
                <w:szCs w:val="20"/>
              </w:rPr>
              <w:t xml:space="preserve">Path</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1</w:t>
            </w:r>
          </w:p>
        </w:tc>
        <w:tc>
          <w:tcPr>
            <w:tcW w:type="dxa" w:w="4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iris_ccr_tools.py — all 9 tool classes + IrisBaseTool</w:t>
            </w:r>
          </w:p>
        </w:tc>
        <w:tc>
          <w:tcPr>
            <w:tcW w:type="dxa" w:w="47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sajha/tools/impl/iris_ccr_tools.py</w:t>
            </w:r>
          </w:p>
        </w:tc>
      </w:tr>
      <w:tr>
        <w:tc>
          <w:tcPr>
            <w:tcW w:type="dxa" w:w="6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2</w:t>
            </w:r>
          </w:p>
        </w:tc>
        <w:tc>
          <w:tcPr>
            <w:tcW w:type="dxa" w:w="40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iris_list_dates.json config</w:t>
            </w:r>
          </w:p>
        </w:tc>
        <w:tc>
          <w:tcPr>
            <w:tcW w:type="dxa" w:w="47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config/tools/iris_list_dates.json</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3</w:t>
            </w:r>
          </w:p>
        </w:tc>
        <w:tc>
          <w:tcPr>
            <w:tcW w:type="dxa" w:w="4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iris_search_counterparties.json config</w:t>
            </w:r>
          </w:p>
        </w:tc>
        <w:tc>
          <w:tcPr>
            <w:tcW w:type="dxa" w:w="47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config/tools/iris_search_counterparties.json</w:t>
            </w:r>
          </w:p>
        </w:tc>
      </w:tr>
      <w:tr>
        <w:tc>
          <w:tcPr>
            <w:tcW w:type="dxa" w:w="6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4</w:t>
            </w:r>
          </w:p>
        </w:tc>
        <w:tc>
          <w:tcPr>
            <w:tcW w:type="dxa" w:w="40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iris_counterparty_dashboard.json config</w:t>
            </w:r>
          </w:p>
        </w:tc>
        <w:tc>
          <w:tcPr>
            <w:tcW w:type="dxa" w:w="47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config/tools/iris_counterparty_dashboard.json</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5</w:t>
            </w:r>
          </w:p>
        </w:tc>
        <w:tc>
          <w:tcPr>
            <w:tcW w:type="dxa" w:w="4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iris_limit_lookup.json config</w:t>
            </w:r>
          </w:p>
        </w:tc>
        <w:tc>
          <w:tcPr>
            <w:tcW w:type="dxa" w:w="47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config/tools/iris_limit_lookup.json</w:t>
            </w:r>
          </w:p>
        </w:tc>
      </w:tr>
      <w:tr>
        <w:tc>
          <w:tcPr>
            <w:tcW w:type="dxa" w:w="6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6</w:t>
            </w:r>
          </w:p>
        </w:tc>
        <w:tc>
          <w:tcPr>
            <w:tcW w:type="dxa" w:w="40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iris_limit_breach_check.json config</w:t>
            </w:r>
          </w:p>
        </w:tc>
        <w:tc>
          <w:tcPr>
            <w:tcW w:type="dxa" w:w="47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config/tools/iris_limit_breach_check.json</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7</w:t>
            </w:r>
          </w:p>
        </w:tc>
        <w:tc>
          <w:tcPr>
            <w:tcW w:type="dxa" w:w="4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iris_exposure_trend.json config</w:t>
            </w:r>
          </w:p>
        </w:tc>
        <w:tc>
          <w:tcPr>
            <w:tcW w:type="dxa" w:w="47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config/tools/iris_exposure_trend.json</w:t>
            </w:r>
          </w:p>
        </w:tc>
      </w:tr>
      <w:tr>
        <w:tc>
          <w:tcPr>
            <w:tcW w:type="dxa" w:w="6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8</w:t>
            </w:r>
          </w:p>
        </w:tc>
        <w:tc>
          <w:tcPr>
            <w:tcW w:type="dxa" w:w="40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iris_multi_counterparty_comparison.json config</w:t>
            </w:r>
          </w:p>
        </w:tc>
        <w:tc>
          <w:tcPr>
            <w:tcW w:type="dxa" w:w="47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config/tools/iris_multi_counterparty_comparison.json</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9</w:t>
            </w:r>
          </w:p>
        </w:tc>
        <w:tc>
          <w:tcPr>
            <w:tcW w:type="dxa" w:w="4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iris_portfolio_breach_scan.json config</w:t>
            </w:r>
          </w:p>
        </w:tc>
        <w:tc>
          <w:tcPr>
            <w:tcW w:type="dxa" w:w="47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config/tools/iris_portfolio_breach_scan.json</w:t>
            </w:r>
          </w:p>
        </w:tc>
      </w:tr>
      <w:tr>
        <w:tc>
          <w:tcPr>
            <w:tcW w:type="dxa" w:w="6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10</w:t>
            </w:r>
          </w:p>
        </w:tc>
        <w:tc>
          <w:tcPr>
            <w:tcW w:type="dxa" w:w="40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iris_rating_screen.json config</w:t>
            </w:r>
          </w:p>
        </w:tc>
        <w:tc>
          <w:tcPr>
            <w:tcW w:type="dxa" w:w="47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config/tools/iris_rating_screen.json</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11</w:t>
            </w:r>
          </w:p>
        </w:tc>
        <w:tc>
          <w:tcPr>
            <w:tcW w:type="dxa" w:w="4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iris_ccr_global.txt — domain literature</w:t>
            </w:r>
          </w:p>
        </w:tc>
        <w:tc>
          <w:tcPr>
            <w:tcW w:type="dxa" w:w="47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config/literature/iris_ccr_global.txt</w:t>
            </w:r>
          </w:p>
        </w:tc>
      </w:tr>
      <w:tr>
        <w:tc>
          <w:tcPr>
            <w:tcW w:type="dxa" w:w="6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12</w:t>
            </w:r>
          </w:p>
        </w:tc>
        <w:tc>
          <w:tcPr>
            <w:tcW w:type="dxa" w:w="40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iris_ccr_tools.txt — tool routing literature</w:t>
            </w:r>
          </w:p>
        </w:tc>
        <w:tc>
          <w:tcPr>
            <w:tcW w:type="dxa" w:w="47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config/literature/iris_ccr_tools.txt</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13</w:t>
            </w:r>
          </w:p>
        </w:tc>
        <w:tc>
          <w:tcPr>
            <w:tcW w:type="dxa" w:w="4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application.properties updated with iris CSV path</w:t>
            </w:r>
          </w:p>
        </w:tc>
        <w:tc>
          <w:tcPr>
            <w:tcW w:type="dxa" w:w="47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config/application.properties</w:t>
            </w:r>
          </w:p>
        </w:tc>
      </w:tr>
      <w:tr>
        <w:tc>
          <w:tcPr>
            <w:tcW w:type="dxa" w:w="6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14</w:t>
            </w:r>
          </w:p>
        </w:tc>
        <w:tc>
          <w:tcPr>
            <w:tcW w:type="dxa" w:w="40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iris_combined.csv — test dataset (42 cols, 5 dates, 8+ counterparties)</w:t>
            </w:r>
          </w:p>
        </w:tc>
        <w:tc>
          <w:tcPr>
            <w:tcW w:type="dxa" w:w="47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CCR_data/iris/iris_combined.csv</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15</w:t>
            </w:r>
          </w:p>
        </w:tc>
        <w:tc>
          <w:tcPr>
            <w:tcW w:type="dxa" w:w="4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Raw daily CSV files (at least 2)</w:t>
            </w:r>
          </w:p>
        </w:tc>
        <w:tc>
          <w:tcPr>
            <w:tcW w:type="dxa" w:w="47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CCR_data/iris/IRIS_ALL_PROD_UTIL_*.csv</w:t>
            </w:r>
          </w:p>
        </w:tc>
      </w:tr>
      <w:tr>
        <w:tc>
          <w:tcPr>
            <w:tcW w:type="dxa" w:w="6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16</w:t>
            </w:r>
          </w:p>
        </w:tc>
        <w:tc>
          <w:tcPr>
            <w:tcW w:type="dxa" w:w="400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combine_iris.py — file combiner script</w:t>
            </w:r>
          </w:p>
        </w:tc>
        <w:tc>
          <w:tcPr>
            <w:tcW w:type="dxa" w:w="4760"/>
            <w:tcBorders>
              <w:top w:val="single" w:color="BDD7EE" w:sz="1"/>
              <w:left w:val="single" w:color="BDD7EE" w:sz="1"/>
              <w:bottom w:val="single" w:color="BDD7EE" w:sz="1"/>
              <w:right w:val="single" w:color="BDD7EE" w:sz="1"/>
            </w:tcBorders>
            <w:shd w:fill="EEF4FB" w:val="clear"/>
            <w:tcMar>
              <w:top w:type="dxa" w:w="80"/>
              <w:left w:type="dxa" w:w="150"/>
              <w:bottom w:type="dxa" w:w="80"/>
              <w:right w:type="dxa" w:w="150"/>
            </w:tcMar>
          </w:tcPr>
          <w:p>
            <w:r>
              <w:rPr>
                <w:rFonts w:ascii="Arial" w:cs="Arial" w:eastAsia="Arial" w:hAnsi="Arial"/>
                <w:sz w:val="20"/>
                <w:szCs w:val="20"/>
              </w:rPr>
              <w:t xml:space="preserve">CCR_data/iris/combine_iris.py</w:t>
            </w:r>
          </w:p>
        </w:tc>
      </w:tr>
      <w:tr>
        <w:tc>
          <w:tcPr>
            <w:tcW w:type="dxa" w:w="6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17</w:t>
            </w:r>
          </w:p>
        </w:tc>
        <w:tc>
          <w:tcPr>
            <w:tcW w:type="dxa" w:w="400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All 20 acceptance criteria verified and passing</w:t>
            </w:r>
          </w:p>
        </w:tc>
        <w:tc>
          <w:tcPr>
            <w:tcW w:type="dxa" w:w="4760"/>
            <w:tcBorders>
              <w:top w:val="single" w:color="BDD7EE" w:sz="1"/>
              <w:left w:val="single" w:color="BDD7EE" w:sz="1"/>
              <w:bottom w:val="single" w:color="BDD7EE" w:sz="1"/>
              <w:right w:val="single" w:color="BDD7EE" w:sz="1"/>
            </w:tcBorders>
            <w:shd w:fill="FFFFFF" w:val="clear"/>
            <w:tcMar>
              <w:top w:type="dxa" w:w="80"/>
              <w:left w:type="dxa" w:w="150"/>
              <w:bottom w:type="dxa" w:w="80"/>
              <w:right w:type="dxa" w:w="150"/>
            </w:tcMar>
          </w:tcPr>
          <w:p>
            <w:r>
              <w:rPr>
                <w:rFonts w:ascii="Arial" w:cs="Arial" w:eastAsia="Arial" w:hAnsi="Arial"/>
                <w:sz w:val="20"/>
                <w:szCs w:val="20"/>
              </w:rPr>
              <w:t xml:space="preserve">—</w:t>
            </w:r>
          </w:p>
        </w:tc>
      </w:tr>
    </w:tbl>
    <w:p>
      <w:pPr>
        <w:spacing w:before="200" w:after="0"/>
      </w:pPr>
      <w:r>
        <w:t xml:space="preserve"/>
      </w:r>
    </w:p>
    <w:p>
      <w:pPr>
        <w:pBdr>
          <w:top w:val="single" w:color="2E75B6" w:sz="4" w:space="4"/>
          <w:bottom w:val="single" w:color="2E75B6" w:sz="4" w:space="4"/>
        </w:pBdr>
        <w:spacing w:before="120" w:after="120"/>
        <w:jc w:val="center"/>
      </w:pPr>
      <w:r>
        <w:rPr>
          <w:rFonts w:ascii="Arial" w:cs="Arial" w:eastAsia="Arial" w:hAnsi="Arial"/>
          <w:b/>
          <w:bCs/>
          <w:color w:val="1F3864"/>
          <w:sz w:val="22"/>
          <w:szCs w:val="22"/>
        </w:rPr>
        <w:t xml:space="preserve">Build complete when all 17 deliverables are present and all 20 AC pass.</w:t>
      </w:r>
    </w:p>
    <w:p>
      <w:pPr>
        <w:spacing w:before="200" w:after="0"/>
      </w:pPr>
      <w:r>
        <w:t xml:space="preserve"/>
      </w:r>
    </w:p>
    <w:sectPr>
      <w:headerReference w:type="default" r:id="rId6"/>
      <w:footerReference w:type="default" r:id="rId7"/>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777777"/>
        <w:sz w:val="18"/>
        <w:szCs w:val="18"/>
      </w:rPr>
      <w:t xml:space="preserve">SAJHA MCP Server v2.9.8  ·  2026-03-30</w:t>
    </w:r>
    <w:r>
      <w:rPr>
        <w:rFonts w:ascii="Arial" w:cs="Arial" w:eastAsia="Arial" w:hAnsi="Arial"/>
        <w:color w:val="777777"/>
        <w:sz w:val="18"/>
        <w:szCs w:val="18"/>
      </w:rPr>
      <w:t xml:space="preserve">	Page </w:t>
    </w:r>
    <w:r>
      <w:rPr>
        <w:rFonts w:ascii="Arial" w:cs="Arial" w:eastAsia="Arial" w:hAnsi="Arial"/>
        <w:color w:val="777777"/>
        <w:sz w:val="18"/>
        <w:szCs w:val="18"/>
      </w:rPr>
      <w:fldChar w:fldCharType="begin"/>
      <w:instrText xml:space="preserve">PAGE</w:instrText>
      <w:fldChar w:fldCharType="separate"/>
      <w:fldChar w:fldCharType="end"/>
    </w:r>
    <w:r>
      <w:rPr>
        <w:rFonts w:ascii="Arial" w:cs="Arial" w:eastAsia="Arial" w:hAnsi="Arial"/>
        <w:color w:val="777777"/>
        <w:sz w:val="18"/>
        <w:szCs w:val="18"/>
      </w:rPr>
      <w:t xml:space="preserve"> of </w:t>
    </w:r>
    <w:r>
      <w:rPr>
        <w:rFonts w:ascii="Arial" w:cs="Arial" w:eastAsia="Arial" w:hAnsi="Arial"/>
        <w:color w:val="777777"/>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color w:val="555555"/>
        <w:sz w:val="18"/>
        <w:szCs w:val="18"/>
      </w:rPr>
      <w:t xml:space="preserve">IRIS CCR MCP Tool Suite — Claude Code Build Requirements</w:t>
    </w:r>
    <w:r>
      <w:rPr>
        <w:rFonts w:ascii="Arial" w:cs="Arial" w:eastAsia="Arial" w:hAnsi="Arial"/>
        <w:color w:val="999999"/>
        <w:sz w:val="18"/>
        <w:szCs w:val="18"/>
      </w:rPr>
      <w:t xml:space="preserve">	CONFIDENTIAL  ·  DRAFT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0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F4F7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2026-03-30T23:15:58.076Z</dcterms:created>
  <dcterms:modified xsi:type="dcterms:W3CDTF">2026-03-30T23:15:58.077Z</dcterms:modified>
</cp:coreProperties>
</file>

<file path=docProps/custom.xml><?xml version="1.0" encoding="utf-8"?>
<Properties xmlns="http://schemas.openxmlformats.org/officeDocument/2006/custom-properties" xmlns:vt="http://schemas.openxmlformats.org/officeDocument/2006/docPropsVTypes"/>
</file>