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B2A4A"/>
          <w:sz w:val="64"/>
          <w:szCs w:val="64"/>
        </w:rPr>
        <w:t xml:space="preserve">RiskGPT</w:t>
      </w:r>
    </w:p>
    <w:p>
      <w:pPr>
        <w:spacing w:after="80"/>
        <w:jc w:val="center"/>
      </w:pPr>
      <w:r>
        <w:rPr>
          <w:rFonts w:ascii="Arial" w:cs="Arial" w:eastAsia="Arial" w:hAnsi="Arial"/>
          <w:b/>
          <w:bCs/>
          <w:color w:val="1A5276"/>
          <w:sz w:val="44"/>
          <w:szCs w:val="44"/>
        </w:rPr>
        <w:t xml:space="preserve">Regulatory Data Requirements</w:t>
      </w:r>
    </w:p>
    <w:p>
      <w:pPr>
        <w:spacing w:after="240"/>
        <w:jc w:val="center"/>
      </w:pPr>
      <w:r>
        <w:rPr>
          <w:rFonts w:ascii="Arial" w:cs="Arial" w:eastAsia="Arial" w:hAnsi="Arial"/>
          <w:color w:val="8A9BB0"/>
          <w:sz w:val="26"/>
          <w:szCs w:val="26"/>
        </w:rPr>
        <w:t xml:space="preserve">Domain Data Acquisition — Source URLs, Versions &amp; Worker Mapping</w:t>
      </w:r>
    </w:p>
    <w:p>
      <w:pPr>
        <w:pBdr>
          <w:bottom w:val="single" w:color="C9A84C" w:sz="6" w:space="1"/>
        </w:pBdr>
        <w:spacing w:after="120"/>
      </w:pP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334155"/>
                <w:sz w:val="21"/>
                <w:szCs w:val="21"/>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1"/>
                <w:szCs w:val="21"/>
              </w:rPr>
              <w:t xml:space="preserve">1.0</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334155"/>
                <w:sz w:val="21"/>
                <w:szCs w:val="21"/>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1"/>
                <w:szCs w:val="21"/>
              </w:rPr>
              <w:t xml:space="preserve">DRAFT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334155"/>
                <w:sz w:val="21"/>
                <w:szCs w:val="21"/>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1"/>
                <w:szCs w:val="21"/>
              </w:rPr>
              <w:t xml:space="preserve">2026-04-03</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334155"/>
                <w:sz w:val="21"/>
                <w:szCs w:val="21"/>
              </w:rPr>
              <w:t xml:space="preserve">Total Documents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1"/>
                <w:szCs w:val="21"/>
              </w:rPr>
              <w:t xml:space="preserve">~90 source files across 4 regulatory bodies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334155"/>
                <w:sz w:val="21"/>
                <w:szCs w:val="21"/>
              </w:rPr>
              <w:t xml:space="preserve">Jurisdictions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1"/>
                <w:szCs w:val="21"/>
              </w:rPr>
              <w:t xml:space="preserve">Canada (OSFI / FINTRAC / OSC / CIRO) + USA (OCC / Fed / SEC / CFTC / FinCEN) + Basel/BCBS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334155"/>
                <w:sz w:val="21"/>
                <w:szCs w:val="21"/>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1"/>
                <w:szCs w:val="21"/>
              </w:rPr>
              <w:t xml:space="preserve">Internal — Confidential</w:t>
            </w:r>
          </w:p>
        </w:tc>
      </w:tr>
    </w:tbl>
    <w:p>
      <w:r>
        <w:br w:type="page"/>
      </w:r>
    </w:p>
    <w:p>
      <w:pPr>
        <w:pStyle w:val="Heading1"/>
        <w:spacing w:after="12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2A4A"/>
          <w:sz w:val="32"/>
          <w:szCs w:val="32"/>
        </w:rPr>
        <w:t xml:space="preserve">1. Purpose &amp; Scope</w:t>
      </w:r>
    </w:p>
    <w:p>
      <w:pPr>
        <w:pBdr>
          <w:bottom w:val="single" w:color="1A5276" w:sz="6" w:space="1"/>
        </w:pBdr>
        <w:spacing w:after="120"/>
      </w:pPr>
    </w:p>
    <w:p>
      <w:pPr>
        <w:spacing w:after="120"/>
      </w:pPr>
      <w:r>
        <w:rPr>
          <w:rFonts w:ascii="Arial" w:cs="Arial" w:eastAsia="Arial" w:hAnsi="Arial"/>
          <w:sz w:val="22"/>
          <w:szCs w:val="22"/>
        </w:rPr>
        <w:t xml:space="preserve">This document specifies every regulatory source file required to populate the domain data folders of the RiskGPT Digital Worker Platform. For each document it provides: the primary download URL, current and prior-year versions to ingest, file format, and the Digital Workers that depend on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Ingestion Requirement</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BOTH the current and prior version of each document should be ingested where a prior version exists.</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Dual-version ingestion allows workers to compare current and prior requirements when analysing a bank document — for example, identifying whether a gap existed under the 2023 CAR and has been addressed in the 2024 version.</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All files are stored under data/domain_data/regulatory/ with sub-folders by regulator (see Section 6).</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HTML-format sources (OSFI guidance pages, Basel Framework chapters) should be fetched and saved as PDF using a headless browser. Do not ingest raw HTML links as file paths.</w:t>
            </w:r>
          </w:p>
        </w:tc>
      </w:tr>
    </w:tbl>
    <w:p>
      <w:pPr>
        <w:spacing w:after="80"/>
      </w:pPr>
      <w:r>
        <w:t xml:space="preserve"/>
      </w:r>
    </w:p>
    <w:p>
      <w:pPr>
        <w:spacing w:after="120"/>
      </w:pPr>
      <w:r>
        <w:rPr>
          <w:rFonts w:ascii="Arial" w:cs="Arial" w:eastAsia="Arial" w:hAnsi="Arial"/>
          <w:sz w:val="22"/>
          <w:szCs w:val="22"/>
        </w:rPr>
        <w:t xml:space="preserve">Worker IDs referenced throughout this document correspond to the following roles: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2200"/>
        <w:gridCol w:w="800"/>
        <w:gridCol w:w="22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W-01</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Op Risk Controls Analyst</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Market Risk Audit Analyst</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W-05</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Commercial Appraisal</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Wealth Risk Officer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Commercial Credit Risk</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Treasury &amp; ALM Risk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W-09</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Capital Planning &amp; Stress</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W-10</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Cap Markets Risk (Rates/FX)</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W-11</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Derivatives &amp; XVA</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Model Risk &amp; Quant Valid.</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Credit Portfolio Risk</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Compliance &amp; AML</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W-15</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Internal Audit Analytics</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W-16</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Financial Reg Reporting</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W-17</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Wealth Portfolio Analytics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W-18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Continuous Monitoring</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C9A84C"/>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w:r>
          </w:p>
        </w:tc>
      </w:tr>
    </w:tbl>
    <w:p>
      <w:r>
        <w:br w:type="page"/>
      </w:r>
    </w:p>
    <w:p>
      <w:pPr>
        <w:pStyle w:val="Heading1"/>
        <w:spacing w:after="120" w:before="360"/>
      </w:pPr>
      <w:r>
        <w:rPr>
          <w:rFonts w:ascii="Arial" w:cs="Arial" w:eastAsia="Arial" w:hAnsi="Arial"/>
          <w:b/>
          <w:bCs/>
          <w:color w:val="1B2A4A"/>
          <w:sz w:val="32"/>
          <w:szCs w:val="32"/>
        </w:rPr>
        <w:t xml:space="preserve">2. Canada — OSFI Capital Adequacy Requirements (CAR)</w:t>
      </w:r>
    </w:p>
    <w:p>
      <w:pPr>
        <w:pBdr>
          <w:bottom w:val="single" w:color="1A5276" w:sz="6" w:space="1"/>
        </w:pBdr>
        <w:spacing w:after="120"/>
      </w:pPr>
    </w:p>
    <w:p>
      <w:pPr>
        <w:spacing w:after="120"/>
      </w:pPr>
      <w:r>
        <w:rPr>
          <w:rFonts w:ascii="Arial" w:cs="Arial" w:eastAsia="Arial" w:hAnsi="Arial"/>
          <w:sz w:val="22"/>
          <w:szCs w:val="22"/>
        </w:rPr>
        <w:t xml:space="preserve">The CAR is published by OSFI as a multi-chapter PDF document updated annually. Each chapter covers a distinct risk type. Both the current (2024) and prior (2023) editions must be ingested. All chapter PDFs are accessible from the OSFI guidance library at the URL shown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Download Note — CAR</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Primary index: https://www.osfi-bsif.gc.ca/en/guidance/guidance-library/capital-adequacy-requirements-2024</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Each chapter is a separate PDF download linked from the index page.</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Repeat for the 2023 edition: https://www.osfi-bsif.gc.ca/en/guidance/guidance-library/capital-adequacy-requirements-2023</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Naming convention: CAR_2024_Ch01_Overview.pdf, CAR_2024_Ch03_Credit_Standardized.pdf, etc.</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Store in: data/domain_data/regulatory/osfi/car/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1: Overview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ekxki2r_rv_oi179r-dqo">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4,7,8,9,10,11</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2: Definition of Capital</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gtlw7loctxbswz_w9yi2g">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7,9</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3: Credit Risk Standardized Approach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pzxs8_bzzlpmfs1fhbw3k">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7,9,13</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4: Credit Risk IRB Approach</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5ay6cdnsugtrx6g8wulh2">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7,9,12,13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5: Credit Risk Mitigation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wkcmef1egyhjjvdnn9yvp">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7,11,13</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6: Securitization</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b-au9yc-nyvcz-0r1uco9">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7,9</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7: Settlement &amp; Counterparty Risk (SA-CCR)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qtczfgjm30zr4eec5rak_">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4,7,11</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8</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8: Operational Risk</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qeacexqxumberqh1ynjn8">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9: Market Risk (FRTB-aligned)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zzq1reqxo_7dnpkfdoznl">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4,9,10</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10</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10: IRRBB</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cxwhgxvp9ek1p37e7jb__">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11: Leverage Ratio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bg6epeelb-zaq-ccz_pqg">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9,10</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CAR — Chapter 12: Capital Buffers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plhoy5n0jn1w99qgtvb9w">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8,9</w:t>
            </w:r>
          </w:p>
        </w:tc>
      </w:tr>
    </w:tbl>
    <w:p>
      <w:r>
        <w:br w:type="page"/>
      </w:r>
    </w:p>
    <w:p>
      <w:pPr>
        <w:pStyle w:val="Heading1"/>
        <w:spacing w:after="120" w:before="360"/>
      </w:pPr>
      <w:r>
        <w:rPr>
          <w:rFonts w:ascii="Arial" w:cs="Arial" w:eastAsia="Arial" w:hAnsi="Arial"/>
          <w:b/>
          <w:bCs/>
          <w:color w:val="1B2A4A"/>
          <w:sz w:val="32"/>
          <w:szCs w:val="32"/>
        </w:rPr>
        <w:t xml:space="preserve">3. Canada — OSFI Liquidity Adequacy Requirements (LAR)</w:t>
      </w:r>
    </w:p>
    <w:p>
      <w:pPr>
        <w:pBdr>
          <w:bottom w:val="single" w:color="1A5276" w:sz="6" w:space="1"/>
        </w:pBdr>
        <w:spacing w:after="120"/>
      </w:pPr>
    </w:p>
    <w:p>
      <w:pPr>
        <w:spacing w:after="120"/>
      </w:pPr>
      <w:r>
        <w:rPr>
          <w:rFonts w:ascii="Arial" w:cs="Arial" w:eastAsia="Arial" w:hAnsi="Arial"/>
          <w:sz w:val="22"/>
          <w:szCs w:val="22"/>
        </w:rPr>
        <w:t xml:space="preserve">The LAR is structured analogously to the CAR — a multi-chapter document covering LCR, NSFR, intraday liquidity, and qualitative liquidity risk management. Current (2024) and prior (2023) editions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Download Note — LAR</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Primary index: https://www.osfi-bsif.gc.ca/en/guidance/guidance-library/liquidity-adequacy-requirements-2024</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Prior edition: https://www.osfi-bsif.gc.ca/en/guidance/guidance-library/liquidity-adequacy-requirements-2023</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Naming convention: LAR_2024_Ch01_LCR.pdf, LAR_2024_Ch02_NSFR.pdf, etc.</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Store in: data/domain_data/regulatory/osfi/lar/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LAR — Chapter 1: Liquidity Coverage Ratio (LCR)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k2cswqwhscpxezpcjftzd">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LAR — Chapter 2: Net Stable Funding Ratio (NSFR)</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ogsjqdyba4glpponwo6zi">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LAR — Chapter 3: Intraday Liquidity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uj8osaxl9n139wc_s38y9">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LAR — Chapter 4: Liquidity Risk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ljefl53h1unxpb10mgamt">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bl>
    <w:p>
      <w:r>
        <w:br w:type="page"/>
      </w:r>
    </w:p>
    <w:p>
      <w:pPr>
        <w:pStyle w:val="Heading1"/>
        <w:spacing w:after="120" w:before="360"/>
      </w:pPr>
      <w:r>
        <w:rPr>
          <w:rFonts w:ascii="Arial" w:cs="Arial" w:eastAsia="Arial" w:hAnsi="Arial"/>
          <w:b/>
          <w:bCs/>
          <w:color w:val="1B2A4A"/>
          <w:sz w:val="32"/>
          <w:szCs w:val="32"/>
        </w:rPr>
        <w:t xml:space="preserve">4. Canada — OSFI Guidelines (B-Series &amp; E-Series)</w:t>
      </w:r>
    </w:p>
    <w:p>
      <w:pPr>
        <w:pBdr>
          <w:bottom w:val="single" w:color="1A5276" w:sz="6" w:space="1"/>
        </w:pBdr>
        <w:spacing w:after="120"/>
      </w:pPr>
    </w:p>
    <w:p>
      <w:pPr>
        <w:spacing w:after="120"/>
      </w:pPr>
      <w:r>
        <w:rPr>
          <w:rFonts w:ascii="Arial" w:cs="Arial" w:eastAsia="Arial" w:hAnsi="Arial"/>
          <w:sz w:val="22"/>
          <w:szCs w:val="22"/>
        </w:rPr>
        <w:t xml:space="preserve">OSFI publishes standalone supervision guidelines under B-series (prudential / product-specific) and E-series (enterprise risk / governance) identifiers. The Domestic Stability Buffer is communicated via quarterly press releases rather than a versioned PDF. All others are PDF documents downloadable from the OSFI guidance library.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B-6: Liquidity Principles for Financial Institutions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j_2falgf1cznmodmk1wp3">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B-10: Third-Party Risk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pfi3o-22v4ob4klq-tyxr">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2017</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B-13: Technology and Cyber Risk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ci-mphd_ttnnd8z86unnx">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B-15: Climate Risk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nqekd2wa-p_pfv8ourxlv">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2022</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3,7,9,13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B-20: Residential Mortgage Underwriting Practices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zgmh3h1tqgi3uwes2spo5">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5,7</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B-21: Residential Mortgage Insurance — Origination</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pxofano9hlkvakgbbrafn">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5,7</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E-4: Foreign Entities Operating in Canada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dyduodmtlmpwd65yxyyyz">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3</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8</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E-13: Regulatory Compliance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d9siiqpdhbelxbjrf51db">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2003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1,2,3,14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E-21: Operational Risk and Resilience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uqel0jbjif2dhem_mk0y0">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10</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E-23: Enterprise-Wide Model Risk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gjecriogvj-ft4jp0ppfu">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2017</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Stress Testing Guideline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xp7oup7ux_9arhmotippa">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2009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9,12</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IRRBB Guideline (Basel IRRBB Implementation)</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verpmsqsvovy9qakpk9o2">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2018</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Corporate Governance Guideline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xtzynanvkel_umidp83ph">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1,2,3,14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Supervisory Framework</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bmplb3lusp_myexwukjrj">
              <w:r>
                <w:rPr>
                  <w:rFonts w:ascii="Arial" w:cs="Arial" w:eastAsia="Arial" w:hAnsi="Arial"/>
                  <w:color w:val="1A5276"/>
                  <w:sz w:val="17"/>
                  <w:szCs w:val="17"/>
                  <w:u w:val="single"/>
                </w:rPr>
                <w:t xml:space="preserve">www.osfi-bsif.gc.ca/en/supervision/supervisory-f…</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2,3,9</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Integrity and Security Guideline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uqynka6jg4tqdab6b1unb">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1,3</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Pillar 3 Public Disclosure Requirements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jh06mkh2acpb0xycve4r9">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Large Exposure Limits (D-11)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tzhqdxnuwjrhpvbgxhku4">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7,11,13</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18</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IFRS 9 / Expected Credit Loss Guidance</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7o7ootxm0h1vlcmgwrba5">
              <w:r>
                <w:rPr>
                  <w:rFonts w:ascii="Arial" w:cs="Arial" w:eastAsia="Arial" w:hAnsi="Arial"/>
                  <w:color w:val="1A5276"/>
                  <w:sz w:val="17"/>
                  <w:szCs w:val="17"/>
                  <w:u w:val="single"/>
                </w:rPr>
                <w:t xml:space="preserve">www.osfi-bsif.gc.ca/en/guidance/guidance-library…</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2016</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7,12,13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OSFI Domestic Stability Buffer Announcements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a8iq-roqopvmz-2tfe83a">
              <w:r>
                <w:rPr>
                  <w:rFonts w:ascii="Arial" w:cs="Arial" w:eastAsia="Arial" w:hAnsi="Arial"/>
                  <w:color w:val="1A5276"/>
                  <w:sz w:val="17"/>
                  <w:szCs w:val="17"/>
                  <w:u w:val="single"/>
                </w:rPr>
                <w:t xml:space="preserve">www.osfi-bsif.gc.ca/en/bank-regulatory-capital/d…</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Quarterly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8,9</w:t>
            </w:r>
          </w:p>
        </w:tc>
      </w:tr>
    </w:tbl>
    <w:p>
      <w:r>
        <w:br w:type="page"/>
      </w:r>
    </w:p>
    <w:p>
      <w:pPr>
        <w:pStyle w:val="Heading1"/>
        <w:spacing w:after="120" w:before="360"/>
      </w:pPr>
      <w:r>
        <w:rPr>
          <w:rFonts w:ascii="Arial" w:cs="Arial" w:eastAsia="Arial" w:hAnsi="Arial"/>
          <w:b/>
          <w:bCs/>
          <w:color w:val="1B2A4A"/>
          <w:sz w:val="32"/>
          <w:szCs w:val="32"/>
        </w:rPr>
        <w:t xml:space="preserve">5. Canada — Other Regulatory Bodies</w:t>
      </w:r>
    </w:p>
    <w:p>
      <w:pPr>
        <w:pBdr>
          <w:bottom w:val="single" w:color="1A5276" w:sz="6" w:space="1"/>
        </w:pBdr>
        <w:spacing w:after="120"/>
      </w:pPr>
    </w:p>
    <w:p>
      <w:pPr>
        <w:spacing w:after="120"/>
      </w:pPr>
      <w:r>
        <w:rPr>
          <w:rFonts w:ascii="Arial" w:cs="Arial" w:eastAsia="Arial" w:hAnsi="Arial"/>
          <w:sz w:val="22"/>
          <w:szCs w:val="22"/>
        </w:rPr>
        <w:t xml:space="preserve">Beyond OSFI, the bank's Canadian operations are subject to statutes and regulatory frameworks from the following bodies: Parliament of Canada (Bank Act), FINTRAC (AML/ATF), the Ontario Securities Commission / Canadian Securities Administrators (OSC/CSA), and CIRO (the consolidated SRO formed from the 2023 merger of IIROC and MFDA).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Bank Act (Canada) — Relevant Sections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bt4ctej0vwhq1obzjlmxc">
              <w:r>
                <w:rPr>
                  <w:rFonts w:ascii="Arial" w:cs="Arial" w:eastAsia="Arial" w:hAnsi="Arial"/>
                  <w:color w:val="1A5276"/>
                  <w:sz w:val="17"/>
                  <w:szCs w:val="17"/>
                  <w:u w:val="single"/>
                </w:rPr>
                <w:t xml:space="preserve">laws-lois.justice.gc.ca/eng/acts/B-1.01/</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2,3,14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PCMLTFA — Proceeds of Crime / AML Act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igisyu3cmcxjoq__rc6xc">
              <w:r>
                <w:rPr>
                  <w:rFonts w:ascii="Arial" w:cs="Arial" w:eastAsia="Arial" w:hAnsi="Arial"/>
                  <w:color w:val="1A5276"/>
                  <w:sz w:val="17"/>
                  <w:szCs w:val="17"/>
                  <w:u w:val="single"/>
                </w:rPr>
                <w:t xml:space="preserve">laws-lois.justice.gc.ca/eng/acts/P-24.501/</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FINTRAC — All Applicable Guidelines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ycg4n0r1hz4hjckgexdm3">
              <w:r>
                <w:rPr>
                  <w:rFonts w:ascii="Arial" w:cs="Arial" w:eastAsia="Arial" w:hAnsi="Arial"/>
                  <w:color w:val="1A5276"/>
                  <w:sz w:val="17"/>
                  <w:szCs w:val="17"/>
                  <w:u w:val="single"/>
                </w:rPr>
                <w:t xml:space="preserve">www.fintrac-canafe.gc.ca/guidance-directives/ove…</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OSC National Instrument 31-103 (Registration Requirements)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zu4_pe5qy6oqug3utbrji">
              <w:r>
                <w:rPr>
                  <w:rFonts w:ascii="Arial" w:cs="Arial" w:eastAsia="Arial" w:hAnsi="Arial"/>
                  <w:color w:val="1A5276"/>
                  <w:sz w:val="17"/>
                  <w:szCs w:val="17"/>
                  <w:u w:val="single"/>
                </w:rPr>
                <w:t xml:space="preserve">www.osc.ca/en/securities-law/instruments-rules-p…</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CIRO Dealer Member Rules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rkqucrtzswymrzce9jaqt">
              <w:r>
                <w:rPr>
                  <w:rFonts w:ascii="Arial" w:cs="Arial" w:eastAsia="Arial" w:hAnsi="Arial"/>
                  <w:color w:val="1A5276"/>
                  <w:sz w:val="17"/>
                  <w:szCs w:val="17"/>
                  <w:u w:val="single"/>
                </w:rPr>
                <w:t xml:space="preserve">www.ciro.ca/rules-and-enforcement/current-rules</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6,10</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CIRO Investment Dealer Rules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ouomoxkil26ma05ixv4yc">
              <w:r>
                <w:rPr>
                  <w:rFonts w:ascii="Arial" w:cs="Arial" w:eastAsia="Arial" w:hAnsi="Arial"/>
                  <w:color w:val="1A5276"/>
                  <w:sz w:val="17"/>
                  <w:szCs w:val="17"/>
                  <w:u w:val="single"/>
                </w:rPr>
                <w:t xml:space="preserve">www.ciro.ca/rules-and-enforcement/current-rules</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6,10</w:t>
            </w:r>
          </w:p>
        </w:tc>
      </w:tr>
    </w:tbl>
    <w:p>
      <w:r>
        <w:br w:type="page"/>
      </w:r>
    </w:p>
    <w:p>
      <w:pPr>
        <w:pStyle w:val="Heading1"/>
        <w:spacing w:after="120" w:before="360"/>
      </w:pPr>
      <w:r>
        <w:rPr>
          <w:rFonts w:ascii="Arial" w:cs="Arial" w:eastAsia="Arial" w:hAnsi="Arial"/>
          <w:b/>
          <w:bCs/>
          <w:color w:val="1B2A4A"/>
          <w:sz w:val="32"/>
          <w:szCs w:val="32"/>
        </w:rPr>
        <w:t xml:space="preserve">6. United States — OCC Comptroller's Handbooks</w:t>
      </w:r>
    </w:p>
    <w:p>
      <w:pPr>
        <w:pBdr>
          <w:bottom w:val="single" w:color="1A5276" w:sz="6" w:space="1"/>
        </w:pBdr>
        <w:spacing w:after="120"/>
      </w:pPr>
    </w:p>
    <w:p>
      <w:pPr>
        <w:spacing w:after="120"/>
      </w:pPr>
      <w:r>
        <w:rPr>
          <w:rFonts w:ascii="Arial" w:cs="Arial" w:eastAsia="Arial" w:hAnsi="Arial"/>
          <w:sz w:val="22"/>
          <w:szCs w:val="22"/>
        </w:rPr>
        <w:t xml:space="preserve">The OCC Comptroller's Handbook series provides US examination standards and supervisory expectations by risk type. Each handbook is a standalone PDF. The Commercial Real Estate Lending handbook is critical for the Commercial Appraisal and Credit Risk workers.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Download Note — OCC Handbooks</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Index: https://www.occ.gov/publications-and-resources/publications/comptrollers-handbook/index-comptrollers-handbook.html</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Each handbook PDF is linked directly from the index. Use the exact PDF links listed in the table below.</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Naming convention: OCC_Handbook_Commercial_Real_Estate.pdf, OCC_Handbook_Market_Risk.pdf, etc.</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Store in: data/domain_data/regulatory/us/occ/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OCC Handbook — Commercial Real Estate Lending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cuyt-a81774eq70ffpk95">
              <w:r>
                <w:rPr>
                  <w:rFonts w:ascii="Arial" w:cs="Arial" w:eastAsia="Arial" w:hAnsi="Arial"/>
                  <w:color w:val="1A5276"/>
                  <w:sz w:val="17"/>
                  <w:szCs w:val="17"/>
                  <w:u w:val="single"/>
                </w:rPr>
                <w:t xml:space="preserve">www.occ.gov/publications-and-resources/publicati…</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5,7</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OCC Handbook — Credit Risk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106m8ij5xphgrlalmcj0h">
              <w:r>
                <w:rPr>
                  <w:rFonts w:ascii="Arial" w:cs="Arial" w:eastAsia="Arial" w:hAnsi="Arial"/>
                  <w:color w:val="1A5276"/>
                  <w:sz w:val="17"/>
                  <w:szCs w:val="17"/>
                  <w:u w:val="single"/>
                </w:rPr>
                <w:t xml:space="preserve">www.occ.gov/publications-and-resources/publicati…</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2016</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7,13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OCC Handbook — Operational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xuv7pgi1xqlmnexpmygka">
              <w:r>
                <w:rPr>
                  <w:rFonts w:ascii="Arial" w:cs="Arial" w:eastAsia="Arial" w:hAnsi="Arial"/>
                  <w:color w:val="1A5276"/>
                  <w:sz w:val="17"/>
                  <w:szCs w:val="17"/>
                  <w:u w:val="single"/>
                </w:rPr>
                <w:t xml:space="preserve">www.occ.gov/publications-and-resources/publicati…</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OCC Handbook — Market Risk</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bc-padu_ab0vkz5d4u5vc">
              <w:r>
                <w:rPr>
                  <w:rFonts w:ascii="Arial" w:cs="Arial" w:eastAsia="Arial" w:hAnsi="Arial"/>
                  <w:color w:val="1A5276"/>
                  <w:sz w:val="17"/>
                  <w:szCs w:val="17"/>
                  <w:u w:val="single"/>
                </w:rPr>
                <w:t xml:space="preserve">www.occ.gov/publications-and-resources/publicati…</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2012</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4,10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OCC Handbook — Interest Rate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9wutwefiua1c_nwt25ach">
              <w:r>
                <w:rPr>
                  <w:rFonts w:ascii="Arial" w:cs="Arial" w:eastAsia="Arial" w:hAnsi="Arial"/>
                  <w:color w:val="1A5276"/>
                  <w:sz w:val="17"/>
                  <w:szCs w:val="17"/>
                  <w:u w:val="single"/>
                </w:rPr>
                <w:t xml:space="preserve">www.occ.gov/publications-and-resources/publicati…</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OCC Handbook — Model Risk Management</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ajroftef78o215sipzkra">
              <w:r>
                <w:rPr>
                  <w:rFonts w:ascii="Arial" w:cs="Arial" w:eastAsia="Arial" w:hAnsi="Arial"/>
                  <w:color w:val="1A5276"/>
                  <w:sz w:val="17"/>
                  <w:szCs w:val="17"/>
                  <w:u w:val="single"/>
                </w:rPr>
                <w:t xml:space="preserve">www.occ.gov/publications-and-resources/publicati…</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2021</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12</w:t>
            </w:r>
          </w:p>
        </w:tc>
      </w:tr>
    </w:tbl>
    <w:p>
      <w:r>
        <w:br w:type="page"/>
      </w:r>
    </w:p>
    <w:p>
      <w:pPr>
        <w:pStyle w:val="Heading1"/>
        <w:spacing w:after="120" w:before="360"/>
      </w:pPr>
      <w:r>
        <w:rPr>
          <w:rFonts w:ascii="Arial" w:cs="Arial" w:eastAsia="Arial" w:hAnsi="Arial"/>
          <w:b/>
          <w:bCs/>
          <w:color w:val="1B2A4A"/>
          <w:sz w:val="32"/>
          <w:szCs w:val="32"/>
        </w:rPr>
        <w:t xml:space="preserve">7. United States — Federal Reserve SR Letters &amp; Capital Rules</w:t>
      </w:r>
    </w:p>
    <w:p>
      <w:pPr>
        <w:pBdr>
          <w:bottom w:val="single" w:color="1A5276" w:sz="6" w:space="1"/>
        </w:pBdr>
        <w:spacing w:after="120"/>
      </w:pPr>
    </w:p>
    <w:p>
      <w:pPr>
        <w:spacing w:after="120"/>
      </w:pPr>
      <w:r>
        <w:rPr>
          <w:rFonts w:ascii="Arial" w:cs="Arial" w:eastAsia="Arial" w:hAnsi="Arial"/>
          <w:sz w:val="22"/>
          <w:szCs w:val="22"/>
        </w:rPr>
        <w:t xml:space="preserve">The Federal Reserve's SR Letters are supervisory guidance documents that carry significant weight as de-facto standards. SR 11-7 (Model Risk Management) and SR 12-7 (Stress Testing) are mandatory domain data for the Model Risk and Capital Planning workers. CCAR and DFAST scenario documents are published annually and must be refreshed each year.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5116" w:sz="1"/>
              <w:left w:val="single" w:color="935116" w:sz="1"/>
              <w:bottom w:val="single" w:color="935116" w:sz="1"/>
              <w:right w:val="single" w:color="935116" w:sz="1"/>
            </w:tcBorders>
            <w:shd w:fill="935116" w:val="clear"/>
            <w:tcMar>
              <w:top w:type="dxa" w:w="80"/>
              <w:left w:type="dxa" w:w="120"/>
              <w:bottom w:type="dxa" w:w="80"/>
              <w:right w:type="dxa" w:w="120"/>
            </w:tcMar>
          </w:tcPr>
          <w:p>
            <w:r>
              <w:rPr>
                <w:rFonts w:ascii="Arial" w:cs="Arial" w:eastAsia="Arial" w:hAnsi="Arial"/>
                <w:b/>
                <w:bCs/>
                <w:color w:val="FFFFFF"/>
                <w:sz w:val="22"/>
                <w:szCs w:val="22"/>
              </w:rPr>
              <w:t xml:space="preserve">Annual Refresh Required</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CCAR and DFAST scenario documents are published annually — typically in February/March.</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Ingest current year AND prior year scenarios.</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CCAR index: https://www.federalreserve.gov/publications/stress-test-policies.htm</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DFAST index: https://www.federalreserve.gov/supervisionreg/dfa-stress-tests.htm</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Schedule an annual data refresh task for these two document families.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Federal Reserve SR 11-7: Guidance on Model Risk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ugsqp1cu6lllyevoqyv9-">
              <w:r>
                <w:rPr>
                  <w:rFonts w:ascii="Arial" w:cs="Arial" w:eastAsia="Arial" w:hAnsi="Arial"/>
                  <w:color w:val="1A5276"/>
                  <w:sz w:val="17"/>
                  <w:szCs w:val="17"/>
                  <w:u w:val="single"/>
                </w:rPr>
                <w:t xml:space="preserve">www.federalreserve.gov/supervisionreg/srletters/…</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4,12</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Federal Reserve SR 12-7: Stress Testing Guidance</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tz9uh4i0lvjbw6odtvwec">
              <w:r>
                <w:rPr>
                  <w:rFonts w:ascii="Arial" w:cs="Arial" w:eastAsia="Arial" w:hAnsi="Arial"/>
                  <w:color w:val="1A5276"/>
                  <w:sz w:val="17"/>
                  <w:szCs w:val="17"/>
                  <w:u w:val="single"/>
                </w:rPr>
                <w:t xml:space="preserve">www.federalreserve.gov/supervisionreg/srletters/…</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2012</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Federal Reserve SR 99-18: Counterparty Credit Risk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eumqadpammevegsoufwgv">
              <w:r>
                <w:rPr>
                  <w:rFonts w:ascii="Arial" w:cs="Arial" w:eastAsia="Arial" w:hAnsi="Arial"/>
                  <w:color w:val="1A5276"/>
                  <w:sz w:val="17"/>
                  <w:szCs w:val="17"/>
                  <w:u w:val="single"/>
                </w:rPr>
                <w:t xml:space="preserve">www.federalreserve.gov/supervisionreg/srletters/…</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1999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11</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Federal Reserve SR 16-11: Supervisory Guidance — Data &amp; Models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mz8mzny1f719fvglxc_vc">
              <w:r>
                <w:rPr>
                  <w:rFonts w:ascii="Arial" w:cs="Arial" w:eastAsia="Arial" w:hAnsi="Arial"/>
                  <w:color w:val="1A5276"/>
                  <w:sz w:val="17"/>
                  <w:szCs w:val="17"/>
                  <w:u w:val="single"/>
                </w:rPr>
                <w:t xml:space="preserve">www.federalreserve.gov/supervisionreg/srletters/…</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2016</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Regulation YY — Enhanced Prudential Standards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o1pfmcvheyrkao-vue5bs">
              <w:r>
                <w:rPr>
                  <w:rFonts w:ascii="Arial" w:cs="Arial" w:eastAsia="Arial" w:hAnsi="Arial"/>
                  <w:color w:val="1A5276"/>
                  <w:sz w:val="17"/>
                  <w:szCs w:val="17"/>
                  <w:u w:val="single"/>
                </w:rPr>
                <w:t xml:space="preserve">www.federalreserve.gov/supervisionreg/regs/regy.…</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Regulation W — Transactions with Affiliates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zjpuvpmyrwylut78hluue">
              <w:r>
                <w:rPr>
                  <w:rFonts w:ascii="Arial" w:cs="Arial" w:eastAsia="Arial" w:hAnsi="Arial"/>
                  <w:color w:val="1A5276"/>
                  <w:sz w:val="17"/>
                  <w:szCs w:val="17"/>
                  <w:u w:val="single"/>
                </w:rPr>
                <w:t xml:space="preserve">www.federalreserve.gov/supervisionreg/regs/regw.…</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2003</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CCAR Framework &amp; Scenarios (Latest 2 Years)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388szgwunbw_nn_ytrejh">
              <w:r>
                <w:rPr>
                  <w:rFonts w:ascii="Arial" w:cs="Arial" w:eastAsia="Arial" w:hAnsi="Arial"/>
                  <w:color w:val="1A5276"/>
                  <w:sz w:val="17"/>
                  <w:szCs w:val="17"/>
                  <w:u w:val="single"/>
                </w:rPr>
                <w:t xml:space="preserve">www.federalreserve.gov/publications/stress-test-…</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8</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DFAST Supervisory Scenarios (Latest 2 Years)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4xcjbnyh4dlhsav2yamj5">
              <w:r>
                <w:rPr>
                  <w:rFonts w:ascii="Arial" w:cs="Arial" w:eastAsia="Arial" w:hAnsi="Arial"/>
                  <w:color w:val="1A5276"/>
                  <w:sz w:val="17"/>
                  <w:szCs w:val="17"/>
                  <w:u w:val="single"/>
                </w:rPr>
                <w:t xml:space="preserve">www.federalreserve.gov/supervisionreg/dfa-stress…</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2025</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III Final Rule — US Implementation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gc7mp9n8h5i3psry2a86s">
              <w:r>
                <w:rPr>
                  <w:rFonts w:ascii="Arial" w:cs="Arial" w:eastAsia="Arial" w:hAnsi="Arial"/>
                  <w:color w:val="1A5276"/>
                  <w:sz w:val="17"/>
                  <w:szCs w:val="17"/>
                  <w:u w:val="single"/>
                </w:rPr>
                <w:t xml:space="preserve">www.federalreserve.gov/releases/bcreg/</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4,7,9,10,11</w:t>
            </w:r>
          </w:p>
        </w:tc>
      </w:tr>
    </w:tbl>
    <w:p>
      <w:r>
        <w:br w:type="page"/>
      </w:r>
    </w:p>
    <w:p>
      <w:pPr>
        <w:pStyle w:val="Heading1"/>
        <w:spacing w:after="120" w:before="360"/>
      </w:pPr>
      <w:r>
        <w:rPr>
          <w:rFonts w:ascii="Arial" w:cs="Arial" w:eastAsia="Arial" w:hAnsi="Arial"/>
          <w:b/>
          <w:bCs/>
          <w:color w:val="1B2A4A"/>
          <w:sz w:val="32"/>
          <w:szCs w:val="32"/>
        </w:rPr>
        <w:t xml:space="preserve">8. United States — Markets, Conduct &amp; Wealth Regulation</w:t>
      </w:r>
    </w:p>
    <w:p>
      <w:pPr>
        <w:pBdr>
          <w:bottom w:val="single" w:color="1A5276" w:sz="6" w:space="1"/>
        </w:pBdr>
        <w:spacing w:after="120"/>
      </w:pPr>
    </w:p>
    <w:p>
      <w:pPr>
        <w:spacing w:after="120"/>
      </w:pPr>
      <w:r>
        <w:rPr>
          <w:rFonts w:ascii="Arial" w:cs="Arial" w:eastAsia="Arial" w:hAnsi="Arial"/>
          <w:sz w:val="22"/>
          <w:szCs w:val="22"/>
        </w:rPr>
        <w:t xml:space="preserve">Capital markets and wealth workers depend on SEC, FINRA, and CFTC regulatory documents. The Volcker Rule and FRTB NPR are essential for the Capital Markets Risk worker. Reg BI and FINRA suitability rules are critical for the Wealth Risk Officer.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FRTB Final Rule — US Notice of Proposed Rulemaking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2kjpfw6gr1dmz8dgzc7st">
              <w:r>
                <w:rPr>
                  <w:rFonts w:ascii="Arial" w:cs="Arial" w:eastAsia="Arial" w:hAnsi="Arial"/>
                  <w:color w:val="1A5276"/>
                  <w:sz w:val="17"/>
                  <w:szCs w:val="17"/>
                  <w:u w:val="single"/>
                </w:rPr>
                <w:t xml:space="preserve">www.federalreserve.gov/newsevents/pressreleases/…</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10</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Volcker Rule Final Rule</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h5n7bdeh_tpejxvuvaefy">
              <w:r>
                <w:rPr>
                  <w:rFonts w:ascii="Arial" w:cs="Arial" w:eastAsia="Arial" w:hAnsi="Arial"/>
                  <w:color w:val="1A5276"/>
                  <w:sz w:val="17"/>
                  <w:szCs w:val="17"/>
                  <w:u w:val="single"/>
                </w:rPr>
                <w:t xml:space="preserve">www.occ.gov/topics/charters-and-licensing/volcke…</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2020</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10,14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SEC Regulation SHO — Short Selling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j2fion_hdl4wgyvkwjey5">
              <w:r>
                <w:rPr>
                  <w:rFonts w:ascii="Arial" w:cs="Arial" w:eastAsia="Arial" w:hAnsi="Arial"/>
                  <w:color w:val="1A5276"/>
                  <w:sz w:val="17"/>
                  <w:szCs w:val="17"/>
                  <w:u w:val="single"/>
                </w:rPr>
                <w:t xml:space="preserve">www.sec.gov/divisions/marketreg/mrfaqregsho1204.…</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2004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10,14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CFTC Swap Dealer Rules — Dodd-Frank Title VII</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o4jbfq66myyzmeac0erq8">
              <w:r>
                <w:rPr>
                  <w:rFonts w:ascii="Arial" w:cs="Arial" w:eastAsia="Arial" w:hAnsi="Arial"/>
                  <w:color w:val="1A5276"/>
                  <w:sz w:val="17"/>
                  <w:szCs w:val="17"/>
                  <w:u w:val="single"/>
                </w:rPr>
                <w:t xml:space="preserve">www.cftc.gov/LawRegulation/DoddFrankAct/Rulemaki…</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11,14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BCBS-IOSCO Margin Requirements for Non-Centrally Cleared Deriv.</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j45v-q7xqrxng_4yrrhxa">
              <w:r>
                <w:rPr>
                  <w:rFonts w:ascii="Arial" w:cs="Arial" w:eastAsia="Arial" w:hAnsi="Arial"/>
                  <w:color w:val="1A5276"/>
                  <w:sz w:val="17"/>
                  <w:szCs w:val="17"/>
                  <w:u w:val="single"/>
                </w:rPr>
                <w:t xml:space="preserve">www.bis.org/bcbs/publ/d499.htm</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11</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SEC Regulation Best Interest (Reg BI)</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9b1y13wymptbq2ibdgt3g">
              <w:r>
                <w:rPr>
                  <w:rFonts w:ascii="Arial" w:cs="Arial" w:eastAsia="Arial" w:hAnsi="Arial"/>
                  <w:color w:val="1A5276"/>
                  <w:sz w:val="17"/>
                  <w:szCs w:val="17"/>
                  <w:u w:val="single"/>
                </w:rPr>
                <w:t xml:space="preserve">www.sec.gov/info/smallbus/secg/regulation-best-i…</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2019</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SEC Investment Advisers Act Guidance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zw_k4v7gu8x0fpbou-0fh">
              <w:r>
                <w:rPr>
                  <w:rFonts w:ascii="Arial" w:cs="Arial" w:eastAsia="Arial" w:hAnsi="Arial"/>
                  <w:color w:val="1A5276"/>
                  <w:sz w:val="17"/>
                  <w:szCs w:val="17"/>
                  <w:u w:val="single"/>
                </w:rPr>
                <w:t xml:space="preserve">www.sec.gov/divisions/investment/adviserinfo.htm…</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6</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8</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FINRA Rulebook — Suitability, KYC, Conduct (Rules 2111, 4512)</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fzzug0m_s7nk2zz49f7ji">
              <w:r>
                <w:rPr>
                  <w:rFonts w:ascii="Arial" w:cs="Arial" w:eastAsia="Arial" w:hAnsi="Arial"/>
                  <w:color w:val="1A5276"/>
                  <w:sz w:val="17"/>
                  <w:szCs w:val="17"/>
                  <w:u w:val="single"/>
                </w:rPr>
                <w:t xml:space="preserve">www.finra.org/rules-guidance/rulebooks/finra-rul…</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6</w:t>
            </w:r>
          </w:p>
        </w:tc>
      </w:tr>
    </w:tbl>
    <w:p>
      <w:r>
        <w:br w:type="page"/>
      </w:r>
    </w:p>
    <w:p>
      <w:pPr>
        <w:pStyle w:val="Heading1"/>
        <w:spacing w:after="120" w:before="360"/>
      </w:pPr>
      <w:r>
        <w:rPr>
          <w:rFonts w:ascii="Arial" w:cs="Arial" w:eastAsia="Arial" w:hAnsi="Arial"/>
          <w:b/>
          <w:bCs/>
          <w:color w:val="1B2A4A"/>
          <w:sz w:val="32"/>
          <w:szCs w:val="32"/>
        </w:rPr>
        <w:t xml:space="preserve">9. United States — AML, Sanctions &amp; Financial Reporting</w:t>
      </w:r>
    </w:p>
    <w:p>
      <w:pPr>
        <w:pBdr>
          <w:bottom w:val="single" w:color="1A5276" w:sz="6" w:space="1"/>
        </w:pBdr>
        <w:spacing w:after="120"/>
      </w:pPr>
    </w:p>
    <w:p>
      <w:pPr>
        <w:spacing w:after="120"/>
      </w:pPr>
      <w:r>
        <w:rPr>
          <w:rFonts w:ascii="Arial" w:cs="Arial" w:eastAsia="Arial" w:hAnsi="Arial"/>
          <w:sz w:val="22"/>
          <w:szCs w:val="22"/>
        </w:rPr>
        <w:t xml:space="preserve">The Compliance &amp; AML Surveillance worker requires the full stack of US AML and sanctions documentation. FASB ASC 326 (CECL) is required for the Credit Portfolio Risk and Commercial Credit workers as the US GAAP equivalent of IFRS 9 ECL.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Bank Secrecy Act — Core Statute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ciyedgewdobb_2hguzjen">
              <w:r>
                <w:rPr>
                  <w:rFonts w:ascii="Arial" w:cs="Arial" w:eastAsia="Arial" w:hAnsi="Arial"/>
                  <w:color w:val="1A5276"/>
                  <w:sz w:val="17"/>
                  <w:szCs w:val="17"/>
                  <w:u w:val="single"/>
                </w:rPr>
                <w:t xml:space="preserve">www.fincen.gov/resources/statutes-regulations/ba…</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FFIEC BSA/AML Examination Manual</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3czbf0ecrfkz-0_n-6dcf">
              <w:r>
                <w:rPr>
                  <w:rFonts w:ascii="Arial" w:cs="Arial" w:eastAsia="Arial" w:hAnsi="Arial"/>
                  <w:color w:val="1A5276"/>
                  <w:sz w:val="17"/>
                  <w:szCs w:val="17"/>
                  <w:u w:val="single"/>
                </w:rPr>
                <w:t xml:space="preserve">bsaaml.ffiec.gov/manual</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2020</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2014</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FinCEN AML Program Rules &amp; Advisories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kvke9atxegfp6tff2rjew">
              <w:r>
                <w:rPr>
                  <w:rFonts w:ascii="Arial" w:cs="Arial" w:eastAsia="Arial" w:hAnsi="Arial"/>
                  <w:color w:val="1A5276"/>
                  <w:sz w:val="17"/>
                  <w:szCs w:val="17"/>
                  <w:u w:val="single"/>
                </w:rPr>
                <w:t xml:space="preserve">www.fincen.gov/resources/statutes-regulations</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OFAC Sanctions Programs &amp; Compliance Guidance</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gicz3ohpylqzpxjotajez">
              <w:r>
                <w:rPr>
                  <w:rFonts w:ascii="Arial" w:cs="Arial" w:eastAsia="Arial" w:hAnsi="Arial"/>
                  <w:color w:val="1A5276"/>
                  <w:sz w:val="17"/>
                  <w:szCs w:val="17"/>
                  <w:u w:val="single"/>
                </w:rPr>
                <w:t xml:space="preserve">ofac.treasury.gov/faqs/topic/1521</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Current</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FASB ASC 326 — CECL (Current Expected Credit Losses)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dme6g38kddlxdivq6o65c">
              <w:r>
                <w:rPr>
                  <w:rFonts w:ascii="Arial" w:cs="Arial" w:eastAsia="Arial" w:hAnsi="Arial"/>
                  <w:color w:val="1A5276"/>
                  <w:sz w:val="17"/>
                  <w:szCs w:val="17"/>
                  <w:u w:val="single"/>
                </w:rPr>
                <w:t xml:space="preserve">fasb.org/page/getarticle?uid=asc326-20200101</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7,12,13</w:t>
            </w:r>
          </w:p>
        </w:tc>
      </w:tr>
    </w:tbl>
    <w:p>
      <w:r>
        <w:br w:type="page"/>
      </w:r>
    </w:p>
    <w:p>
      <w:pPr>
        <w:pStyle w:val="Heading1"/>
        <w:spacing w:after="120" w:before="360"/>
      </w:pPr>
      <w:r>
        <w:rPr>
          <w:rFonts w:ascii="Arial" w:cs="Arial" w:eastAsia="Arial" w:hAnsi="Arial"/>
          <w:b/>
          <w:bCs/>
          <w:color w:val="1B2A4A"/>
          <w:sz w:val="32"/>
          <w:szCs w:val="32"/>
        </w:rPr>
        <w:t xml:space="preserve">10. International — Basel Committee (BCBS)</w:t>
      </w:r>
    </w:p>
    <w:p>
      <w:pPr>
        <w:pBdr>
          <w:bottom w:val="single" w:color="1A5276" w:sz="6" w:space="1"/>
        </w:pBdr>
        <w:spacing w:after="120"/>
      </w:pPr>
    </w:p>
    <w:p>
      <w:pPr>
        <w:spacing w:after="120"/>
      </w:pPr>
      <w:r>
        <w:rPr>
          <w:rFonts w:ascii="Arial" w:cs="Arial" w:eastAsia="Arial" w:hAnsi="Arial"/>
          <w:sz w:val="22"/>
          <w:szCs w:val="22"/>
        </w:rPr>
        <w:t xml:space="preserve">The Basel Framework chapters are published online by the Bank for International Settlements (BIS) and are structured as a unified numbered framework replacing the legacy Basel II/III PDFs. All chapters are accessible via bis.org/basel_framework/. BCBS 239 (RDARR) is required by all workers as it governs the data infrastructure underlying all risk reporting.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Download Note — Basel Framework</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Basel Framework index: https://www.bis.org/basel_framework/</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Each chapter (CRE, MAR, OPE, LEX, etc.) is accessible individually and as a full-chapter PDF.</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Recommend downloading each chapter as PDF and saving with version date.</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BCBS 239 is a standalone legacy PDF: https://www.bis.org/publ/bcbs239.pdf</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Store in: data/domain_data/regulatory/bcbs/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520"/>
        <w:gridCol w:w="700"/>
        <w:gridCol w:w="960"/>
        <w:gridCol w:w="960"/>
        <w:gridCol w:w="110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Document / Guideline</w:t>
            </w:r>
          </w:p>
        </w:tc>
        <w:tc>
          <w:tcPr>
            <w:tcW w:type="dxa" w:w="25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Workers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CRE (Credit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ws91wxmpzsntmxnqfp2tj">
              <w:r>
                <w:rPr>
                  <w:rFonts w:ascii="Arial" w:cs="Arial" w:eastAsia="Arial" w:hAnsi="Arial"/>
                  <w:color w:val="1A5276"/>
                  <w:sz w:val="17"/>
                  <w:szCs w:val="17"/>
                  <w:u w:val="single"/>
                </w:rPr>
                <w:t xml:space="preserve">www.bis.org/basel_framework/chapter/CRE/1.htm</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7,9,11,13</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MAR (Market Risk / FRTB)</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btcx2zg4clrnoydfuran4">
              <w:r>
                <w:rPr>
                  <w:rFonts w:ascii="Arial" w:cs="Arial" w:eastAsia="Arial" w:hAnsi="Arial"/>
                  <w:color w:val="1A5276"/>
                  <w:sz w:val="17"/>
                  <w:szCs w:val="17"/>
                  <w:u w:val="single"/>
                </w:rPr>
                <w:t xml:space="preserve">www.bis.org/basel_framework/chapter/MAR/1.htm</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4,10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OPE (Operational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j87cjeghucdd3dmxl0ayu">
              <w:r>
                <w:rPr>
                  <w:rFonts w:ascii="Arial" w:cs="Arial" w:eastAsia="Arial" w:hAnsi="Arial"/>
                  <w:color w:val="1A5276"/>
                  <w:sz w:val="17"/>
                  <w:szCs w:val="17"/>
                  <w:u w:val="single"/>
                </w:rPr>
                <w:t xml:space="preserve">www.bis.org/basel_framework/chapter/OPE/1.htm</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1,4</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4</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LEX (Large Exposures)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lflrprgu-eqvbm57rftd4">
              <w:r>
                <w:rPr>
                  <w:rFonts w:ascii="Arial" w:cs="Arial" w:eastAsia="Arial" w:hAnsi="Arial"/>
                  <w:color w:val="1A5276"/>
                  <w:sz w:val="17"/>
                  <w:szCs w:val="17"/>
                  <w:u w:val="single"/>
                </w:rPr>
                <w:t xml:space="preserve">www.bis.org/basel_framework/chapter/LEX/1.htm</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7,11,13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LCR Standard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owpqygpdetufbdaxcal_s">
              <w:r>
                <w:rPr>
                  <w:rFonts w:ascii="Arial" w:cs="Arial" w:eastAsia="Arial" w:hAnsi="Arial"/>
                  <w:color w:val="1A5276"/>
                  <w:sz w:val="17"/>
                  <w:szCs w:val="17"/>
                  <w:u w:val="single"/>
                </w:rPr>
                <w:t xml:space="preserve">www.bis.org/publ/bcbs238.pdf</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6</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NSFR Standard</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85tvfb8qb9gu1dwepmspo">
              <w:r>
                <w:rPr>
                  <w:rFonts w:ascii="Arial" w:cs="Arial" w:eastAsia="Arial" w:hAnsi="Arial"/>
                  <w:color w:val="1A5276"/>
                  <w:sz w:val="17"/>
                  <w:szCs w:val="17"/>
                  <w:u w:val="single"/>
                </w:rPr>
                <w:t xml:space="preserve">www.bis.org/bcbs/publ/d295.pdf</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2014</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SA-CCR (CRE52)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wjmr_f17fdw4uw7o84ugl">
              <w:r>
                <w:rPr>
                  <w:rFonts w:ascii="Arial" w:cs="Arial" w:eastAsia="Arial" w:hAnsi="Arial"/>
                  <w:color w:val="1A5276"/>
                  <w:sz w:val="17"/>
                  <w:szCs w:val="17"/>
                  <w:u w:val="single"/>
                </w:rPr>
                <w:t xml:space="preserve">www.bis.org/basel_framework/chapter/CRE/52.htm</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HTML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11</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8</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Basel Framework — IRRBB Standard</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ye4wmyjbxgftzgrcnfwks">
              <w:r>
                <w:rPr>
                  <w:rFonts w:ascii="Arial" w:cs="Arial" w:eastAsia="Arial" w:hAnsi="Arial"/>
                  <w:color w:val="1A5276"/>
                  <w:sz w:val="17"/>
                  <w:szCs w:val="17"/>
                  <w:u w:val="single"/>
                </w:rPr>
                <w:t xml:space="preserve">www.bis.org/bcbs/publ/d368.pdf</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2016</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BCBS 239 — Risk Data Aggregation &amp; Reporting (RDARR)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hevse-2nyjfn-ngtngct6">
              <w:r>
                <w:rPr>
                  <w:rFonts w:ascii="Arial" w:cs="Arial" w:eastAsia="Arial" w:hAnsi="Arial"/>
                  <w:color w:val="1A5276"/>
                  <w:sz w:val="17"/>
                  <w:szCs w:val="17"/>
                  <w:u w:val="single"/>
                </w:rPr>
                <w:t xml:space="preserve">www.bis.org/publ/bcbs239.pdf</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All workers</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10</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BCBS Principles for Sound Stress Testing Practices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s0idtxcnez6-o7bpvb53q">
              <w:r>
                <w:rPr>
                  <w:rFonts w:ascii="Arial" w:cs="Arial" w:eastAsia="Arial" w:hAnsi="Arial"/>
                  <w:color w:val="1A5276"/>
                  <w:sz w:val="17"/>
                  <w:szCs w:val="17"/>
                  <w:u w:val="single"/>
                </w:rPr>
                <w:t xml:space="preserve">www.bis.org/publ/bcbs155.pdf</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2009</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9,12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BCBS Principles for Sound Liquidity Risk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hyperlink w:history="1" r:id="rIdkasxrsdh6vb4cxndzmhzs">
              <w:r>
                <w:rPr>
                  <w:rFonts w:ascii="Arial" w:cs="Arial" w:eastAsia="Arial" w:hAnsi="Arial"/>
                  <w:color w:val="1A5276"/>
                  <w:sz w:val="17"/>
                  <w:szCs w:val="17"/>
                  <w:u w:val="single"/>
                </w:rPr>
                <w:t xml:space="preserve">www.bis.org/publ/bcbs144.pdf</w:t>
              </w:r>
            </w:hyperlink>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2008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8</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bCs/>
                <w:color w:val="334155"/>
                <w:sz w:val="18"/>
                <w:szCs w:val="18"/>
              </w:rPr>
              <w:t xml:space="preserve">12</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BCBS Corporate Governance Principles for Banks</w:t>
            </w:r>
          </w:p>
        </w:tc>
        <w:tc>
          <w:tcPr>
            <w:tcW w:type="dxa" w:w="2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hyperlink w:history="1" r:id="rIdgtjcgzuynjxhq1t6h2oxb">
              <w:r>
                <w:rPr>
                  <w:rFonts w:ascii="Arial" w:cs="Arial" w:eastAsia="Arial" w:hAnsi="Arial"/>
                  <w:color w:val="1A5276"/>
                  <w:sz w:val="17"/>
                  <w:szCs w:val="17"/>
                  <w:u w:val="single"/>
                </w:rPr>
                <w:t xml:space="preserve">www.bis.org/bcbs/publ/d328.pdf</w:t>
              </w:r>
            </w:hyperlink>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PDF</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2015</w:t>
            </w:r>
          </w:p>
        </w:tc>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1A5276"/>
                <w:sz w:val="19"/>
                <w:szCs w:val="19"/>
              </w:rPr>
              <w:t xml:space="preserve">1,3</w:t>
            </w:r>
          </w:p>
        </w:tc>
      </w:tr>
    </w:tbl>
    <w:p>
      <w:r>
        <w:br w:type="page"/>
      </w:r>
    </w:p>
    <w:p>
      <w:pPr>
        <w:pStyle w:val="Heading1"/>
        <w:spacing w:after="120" w:before="360"/>
      </w:pPr>
      <w:r>
        <w:rPr>
          <w:rFonts w:ascii="Arial" w:cs="Arial" w:eastAsia="Arial" w:hAnsi="Arial"/>
          <w:b/>
          <w:bCs/>
          <w:color w:val="1B2A4A"/>
          <w:sz w:val="32"/>
          <w:szCs w:val="32"/>
        </w:rPr>
        <w:t xml:space="preserve">11. Domain Data Folder Structure</w:t>
      </w:r>
    </w:p>
    <w:p>
      <w:pPr>
        <w:pBdr>
          <w:bottom w:val="single" w:color="1A5276" w:sz="6" w:space="1"/>
        </w:pBdr>
        <w:spacing w:after="120"/>
      </w:pPr>
    </w:p>
    <w:p>
      <w:pPr>
        <w:spacing w:after="120"/>
      </w:pPr>
      <w:r>
        <w:rPr>
          <w:rFonts w:ascii="Arial" w:cs="Arial" w:eastAsia="Arial" w:hAnsi="Arial"/>
          <w:sz w:val="22"/>
          <w:szCs w:val="22"/>
        </w:rPr>
        <w:t xml:space="preserve">All regulatory source documents are stored under the following folder hierarchy within the SAJHA domain data path. Each Digital Worker's domain_data_path is set at the worker level in workers.json and can point to the full regulatory root or a division-scoped sub-folder.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Folder Path</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Contains</w:t>
            </w:r>
          </w:p>
        </w:tc>
        <w:tc>
          <w:tcPr>
            <w:tcW w:type="dxa" w:w="3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Workers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data/domain_data/regulatory/osfi/car/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CAR chapters (PDF) — current + prior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4,7,8,9,10,11,12,13</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data/domain_data/regulatory/osfi/lar/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LAR chapters (PDF) — current + prior</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data/domain_data/regulatory/osfi/guidelines/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OSFI B- and E-series guidelines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1,2,3,4,7,8,9,12,13,14</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data/domain_data/regulatory/ca/</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Bank Act, PCMLTFA, FINTRAC, CIRO, OSC</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2,3,6,10,14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data/domain_data/regulatory/us/occ/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OCC Comptroller's Handbooks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1,4,5,7,8,10,12</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data/domain_data/regulatory/us/fed/</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Federal Reserve SR Letters, CCAR, DFAST</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4,9,10,11,12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data/domain_data/regulatory/us/markets/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Volcker, FRTB, CFTC, SEC Reg BI, FINRA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6,10,11,14</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data/domain_data/regulatory/us/aml/</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BSA, FFIEC, FinCEN, OFAC, CECL</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7,12,13,14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data/domain_data/regulatory/bcbs/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Basel Framework (CRE,MAR,OPE,LEX,BCBS239)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workers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2"/>
                <w:szCs w:val="22"/>
              </w:rPr>
              <w:t xml:space="preserve">Naming Convention</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File naming standard:  {BODY}_{YEAR}_{CODE}_{SHORT_TITLE}.pdf</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Examples:</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OSFI_2024_CAR_Ch03_Credit_Standardized.pdf</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OSFI_2023_E21_Operational_Risk_Resilience.pdf</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FED_2011_SR11-7_Model_Risk_Management.pdf</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BCBS_2013_239_RDARR.pdf</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OCC_2012_Handbook_Market_Risk.pdf</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Prior versions: add _PRIOR suffix: OSFI_2023_CAR_Ch09_Market_Risk_PRIOR.pdf</w:t>
            </w:r>
          </w:p>
        </w:tc>
      </w:tr>
    </w:tbl>
    <w:p>
      <w:r>
        <w:br w:type="page"/>
      </w:r>
    </w:p>
    <w:p>
      <w:pPr>
        <w:pStyle w:val="Heading1"/>
        <w:spacing w:after="120" w:before="360"/>
      </w:pPr>
      <w:r>
        <w:rPr>
          <w:rFonts w:ascii="Arial" w:cs="Arial" w:eastAsia="Arial" w:hAnsi="Arial"/>
          <w:b/>
          <w:bCs/>
          <w:color w:val="1B2A4A"/>
          <w:sz w:val="32"/>
          <w:szCs w:val="32"/>
        </w:rPr>
        <w:t xml:space="preserve">12. Data Refresh Schedule</w:t>
      </w:r>
    </w:p>
    <w:p>
      <w:pPr>
        <w:pBdr>
          <w:bottom w:val="single" w:color="1A5276" w:sz="6" w:space="1"/>
        </w:pBdr>
        <w:spacing w:after="120"/>
      </w:pPr>
    </w:p>
    <w:p>
      <w:pPr>
        <w:spacing w:after="120"/>
      </w:pPr>
      <w:r>
        <w:rPr>
          <w:rFonts w:ascii="Arial" w:cs="Arial" w:eastAsia="Arial" w:hAnsi="Arial"/>
          <w:sz w:val="22"/>
          <w:szCs w:val="22"/>
        </w:rPr>
        <w:t xml:space="preserve">Regulatory documents change at different frequencies. The following schedule governs when each document family must be re-downloaded and re-ingested into domain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Document Family</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Frequency</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Trigger</w:t>
            </w:r>
          </w:p>
        </w:tc>
        <w:tc>
          <w:tcPr>
            <w:tcW w:type="dxa" w:w="24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OSFI CAR / 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OSFI release notice (Jan–Mar)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Download all chapters, retire prior, ingest new as CURRENT, old as PRIOR</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OSFI Guidelines (B/E series)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As amended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OSFI guidance library update notice</w:t>
            </w:r>
          </w:p>
        </w:tc>
        <w:tc>
          <w:tcPr>
            <w:tcW w:type="dxa" w:w="2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Replace amended guideline; archive superseded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OSFI Domestic Stability 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Quarterly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OSFI press release (Mar/Jun/Sep/Dec)</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Ingest latest announcement PDF</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CCAR / DFAST Scenarios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Annual</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Federal Reserve publication (Feb/Mar)</w:t>
            </w:r>
          </w:p>
        </w:tc>
        <w:tc>
          <w:tcPr>
            <w:tcW w:type="dxa" w:w="2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Download both base and adverse scenarios for new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Basel Framework chapters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As amended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BIS release bulletin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Replace amended chapter; note version date in filename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FINTRAC / FinCEN advisories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As issued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FINTRAC / FinCEN alert service</w:t>
            </w:r>
          </w:p>
        </w:tc>
        <w:tc>
          <w:tcPr>
            <w:tcW w:type="dxa" w:w="2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Ingest new advisories; flag to Compliance &amp; AML worker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CIRO / OSC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Quarterly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CIRO bulletin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Review amendments; ingest material rule changes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OCC Handbooks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As revised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OCC publications RSS</w:t>
            </w:r>
          </w:p>
        </w:tc>
        <w:tc>
          <w:tcPr>
            <w:tcW w:type="dxa" w:w="2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20"/>
                <w:szCs w:val="20"/>
              </w:rPr>
              <w:t xml:space="preserve">Ingest revised handbook; archive superseded version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360"/>
      </w:tabs>
    </w:pPr>
    <w:r>
      <w:rPr>
        <w:rFonts w:ascii="Arial" w:cs="Arial" w:eastAsia="Arial" w:hAnsi="Arial"/>
        <w:color w:val="8A9BB0"/>
        <w:sz w:val="18"/>
        <w:szCs w:val="18"/>
      </w:rPr>
      <w:t xml:space="preserve">v1.0 — 2026-04-03  |  ~90 Regulatory Documents  |  Canada + USA + Basel</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334155"/>
        <w:sz w:val="18"/>
        <w:szCs w:val="18"/>
      </w:rPr>
      <w:t xml:space="preserve">RiskGPT — Regulatory Data Requirements</w:t>
    </w:r>
    <w:r>
      <w:rPr>
        <w:rFonts w:ascii="Arial" w:cs="Arial" w:eastAsia="Arial" w:hAnsi="Arial"/>
        <w:color w:val="8A9BB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kxki2r_rv_oi179r-dqo" Type="http://schemas.openxmlformats.org/officeDocument/2006/relationships/hyperlink" Target="https://www.osfi-bsif.gc.ca/en/guidance/guidance-library/capital-adequacy-requirements-2024" TargetMode="External"/><Relationship Id="rIdgtlw7loctxbswz_w9yi2g" Type="http://schemas.openxmlformats.org/officeDocument/2006/relationships/hyperlink" Target="https://www.osfi-bsif.gc.ca/en/guidance/guidance-library/capital-adequacy-requirements-2024" TargetMode="External"/><Relationship Id="rIdpzxs8_bzzlpmfs1fhbw3k" Type="http://schemas.openxmlformats.org/officeDocument/2006/relationships/hyperlink" Target="https://www.osfi-bsif.gc.ca/en/guidance/guidance-library/capital-adequacy-requirements-2024" TargetMode="External"/><Relationship Id="rId5ay6cdnsugtrx6g8wulh2" Type="http://schemas.openxmlformats.org/officeDocument/2006/relationships/hyperlink" Target="https://www.osfi-bsif.gc.ca/en/guidance/guidance-library/capital-adequacy-requirements-2024" TargetMode="External"/><Relationship Id="rIdwkcmef1egyhjjvdnn9yvp" Type="http://schemas.openxmlformats.org/officeDocument/2006/relationships/hyperlink" Target="https://www.osfi-bsif.gc.ca/en/guidance/guidance-library/capital-adequacy-requirements-2024" TargetMode="External"/><Relationship Id="rIdb-au9yc-nyvcz-0r1uco9" Type="http://schemas.openxmlformats.org/officeDocument/2006/relationships/hyperlink" Target="https://www.osfi-bsif.gc.ca/en/guidance/guidance-library/capital-adequacy-requirements-2024" TargetMode="External"/><Relationship Id="rIdqtczfgjm30zr4eec5rak_" Type="http://schemas.openxmlformats.org/officeDocument/2006/relationships/hyperlink" Target="https://www.osfi-bsif.gc.ca/en/guidance/guidance-library/capital-adequacy-requirements-2024" TargetMode="External"/><Relationship Id="rIdqeacexqxumberqh1ynjn8" Type="http://schemas.openxmlformats.org/officeDocument/2006/relationships/hyperlink" Target="https://www.osfi-bsif.gc.ca/en/guidance/guidance-library/capital-adequacy-requirements-2024" TargetMode="External"/><Relationship Id="rIdzzq1reqxo_7dnpkfdoznl" Type="http://schemas.openxmlformats.org/officeDocument/2006/relationships/hyperlink" Target="https://www.osfi-bsif.gc.ca/en/guidance/guidance-library/capital-adequacy-requirements-2024" TargetMode="External"/><Relationship Id="rIdcxwhgxvp9ek1p37e7jb__" Type="http://schemas.openxmlformats.org/officeDocument/2006/relationships/hyperlink" Target="https://www.osfi-bsif.gc.ca/en/guidance/guidance-library/capital-adequacy-requirements-2024" TargetMode="External"/><Relationship Id="rIdbg6epeelb-zaq-ccz_pqg" Type="http://schemas.openxmlformats.org/officeDocument/2006/relationships/hyperlink" Target="https://www.osfi-bsif.gc.ca/en/guidance/guidance-library/capital-adequacy-requirements-2024" TargetMode="External"/><Relationship Id="rIdplhoy5n0jn1w99qgtvb9w" Type="http://schemas.openxmlformats.org/officeDocument/2006/relationships/hyperlink" Target="https://www.osfi-bsif.gc.ca/en/guidance/guidance-library/capital-adequacy-requirements-2024" TargetMode="External"/><Relationship Id="rIdk2cswqwhscpxezpcjftzd" Type="http://schemas.openxmlformats.org/officeDocument/2006/relationships/hyperlink" Target="https://www.osfi-bsif.gc.ca/en/guidance/guidance-library/liquidity-adequacy-requirements-2024" TargetMode="External"/><Relationship Id="rIdogsjqdyba4glpponwo6zi" Type="http://schemas.openxmlformats.org/officeDocument/2006/relationships/hyperlink" Target="https://www.osfi-bsif.gc.ca/en/guidance/guidance-library/liquidity-adequacy-requirements-2024" TargetMode="External"/><Relationship Id="rIduj8osaxl9n139wc_s38y9" Type="http://schemas.openxmlformats.org/officeDocument/2006/relationships/hyperlink" Target="https://www.osfi-bsif.gc.ca/en/guidance/guidance-library/liquidity-adequacy-requirements-2024" TargetMode="External"/><Relationship Id="rIdljefl53h1unxpb10mgamt" Type="http://schemas.openxmlformats.org/officeDocument/2006/relationships/hyperlink" Target="https://www.osfi-bsif.gc.ca/en/guidance/guidance-library/liquidity-adequacy-requirements-2024" TargetMode="External"/><Relationship Id="rIdj_2falgf1cznmodmk1wp3" Type="http://schemas.openxmlformats.org/officeDocument/2006/relationships/hyperlink" Target="https://www.osfi-bsif.gc.ca/en/guidance/guidance-library/liquidity-principles-financial-institutions" TargetMode="External"/><Relationship Id="rIdpfi3o-22v4ob4klq-tyxr" Type="http://schemas.openxmlformats.org/officeDocument/2006/relationships/hyperlink" Target="https://www.osfi-bsif.gc.ca/en/guidance/guidance-library/third-party-risk-management" TargetMode="External"/><Relationship Id="rIdci-mphd_ttnnd8z86unnx" Type="http://schemas.openxmlformats.org/officeDocument/2006/relationships/hyperlink" Target="https://www.osfi-bsif.gc.ca/en/guidance/guidance-library/technology-cyber-risk-management" TargetMode="External"/><Relationship Id="rIdnqekd2wa-p_pfv8ourxlv" Type="http://schemas.openxmlformats.org/officeDocument/2006/relationships/hyperlink" Target="https://www.osfi-bsif.gc.ca/en/guidance/guidance-library/climate-risk-management" TargetMode="External"/><Relationship Id="rIdzgmh3h1tqgi3uwes2spo5" Type="http://schemas.openxmlformats.org/officeDocument/2006/relationships/hyperlink" Target="https://www.osfi-bsif.gc.ca/en/guidance/guidance-library/residential-mortgage-underwriting-practices-procedures" TargetMode="External"/><Relationship Id="rIdpxofano9hlkvakgbbrafn" Type="http://schemas.openxmlformats.org/officeDocument/2006/relationships/hyperlink" Target="https://www.osfi-bsif.gc.ca/en/guidance/guidance-library/residential-mortgage-insurance-origination-underwriting" TargetMode="External"/><Relationship Id="rIddyduodmtlmpwd65yxyyyz" Type="http://schemas.openxmlformats.org/officeDocument/2006/relationships/hyperlink" Target="https://www.osfi-bsif.gc.ca/en/guidance/guidance-library/foreign-bank-branches-authorized-foreign-banks" TargetMode="External"/><Relationship Id="rIdd9siiqpdhbelxbjrf51db" Type="http://schemas.openxmlformats.org/officeDocument/2006/relationships/hyperlink" Target="https://www.osfi-bsif.gc.ca/en/guidance/guidance-library/regulatory-compliance-management" TargetMode="External"/><Relationship Id="rIduqel0jbjif2dhem_mk0y0" Type="http://schemas.openxmlformats.org/officeDocument/2006/relationships/hyperlink" Target="https://www.osfi-bsif.gc.ca/en/guidance/guidance-library/operational-risk-resilience" TargetMode="External"/><Relationship Id="rIdgjecriogvj-ft4jp0ppfu" Type="http://schemas.openxmlformats.org/officeDocument/2006/relationships/hyperlink" Target="https://www.osfi-bsif.gc.ca/en/guidance/guidance-library/enterprise-wide-model-risk-management-financial-institutions" TargetMode="External"/><Relationship Id="rIdxp7oup7ux_9arhmotippa" Type="http://schemas.openxmlformats.org/officeDocument/2006/relationships/hyperlink" Target="https://www.osfi-bsif.gc.ca/en/guidance/guidance-library/stress-testing" TargetMode="External"/><Relationship Id="rIdverpmsqsvovy9qakpk9o2" Type="http://schemas.openxmlformats.org/officeDocument/2006/relationships/hyperlink" Target="https://www.osfi-bsif.gc.ca/en/guidance/guidance-library/interest-rate-risk-banking-book" TargetMode="External"/><Relationship Id="rIdxtzynanvkel_umidp83ph" Type="http://schemas.openxmlformats.org/officeDocument/2006/relationships/hyperlink" Target="https://www.osfi-bsif.gc.ca/en/guidance/guidance-library/corporate-governance" TargetMode="External"/><Relationship Id="rIdbmplb3lusp_myexwukjrj" Type="http://schemas.openxmlformats.org/officeDocument/2006/relationships/hyperlink" Target="https://www.osfi-bsif.gc.ca/en/supervision/supervisory-framework" TargetMode="External"/><Relationship Id="rIduqynka6jg4tqdab6b1unb" Type="http://schemas.openxmlformats.org/officeDocument/2006/relationships/hyperlink" Target="https://www.osfi-bsif.gc.ca/en/guidance/guidance-library/integrity-security" TargetMode="External"/><Relationship Id="rIdjh06mkh2acpb0xycve4r9" Type="http://schemas.openxmlformats.org/officeDocument/2006/relationships/hyperlink" Target="https://www.osfi-bsif.gc.ca/en/guidance/guidance-library/public-disclosure-requirements-2024" TargetMode="External"/><Relationship Id="rIdtzhqdxnuwjrhpvbgxhku4" Type="http://schemas.openxmlformats.org/officeDocument/2006/relationships/hyperlink" Target="https://www.osfi-bsif.gc.ca/en/guidance/guidance-library/large-exposure-limits" TargetMode="External"/><Relationship Id="rId7o7ootxm0h1vlcmgwrba5" Type="http://schemas.openxmlformats.org/officeDocument/2006/relationships/hyperlink" Target="https://www.osfi-bsif.gc.ca/en/guidance/guidance-library/ifrs-9-financial-instruments-sound-credit-risk-practices" TargetMode="External"/><Relationship Id="rIda8iq-roqopvmz-2tfe83a" Type="http://schemas.openxmlformats.org/officeDocument/2006/relationships/hyperlink" Target="https://www.osfi-bsif.gc.ca/en/bank-regulatory-capital/domestic-stability-buffer" TargetMode="External"/><Relationship Id="rIdbt4ctej0vwhq1obzjlmxc" Type="http://schemas.openxmlformats.org/officeDocument/2006/relationships/hyperlink" Target="https://laws-lois.justice.gc.ca/eng/acts/B-1.01/" TargetMode="External"/><Relationship Id="rIdigisyu3cmcxjoq__rc6xc" Type="http://schemas.openxmlformats.org/officeDocument/2006/relationships/hyperlink" Target="https://laws-lois.justice.gc.ca/eng/acts/P-24.501/" TargetMode="External"/><Relationship Id="rIdycg4n0r1hz4hjckgexdm3" Type="http://schemas.openxmlformats.org/officeDocument/2006/relationships/hyperlink" Target="https://www.fintrac-canafe.gc.ca/guidance-directives/overview-apercu/Guide1/1-eng" TargetMode="External"/><Relationship Id="rIdzu4_pe5qy6oqug3utbrji" Type="http://schemas.openxmlformats.org/officeDocument/2006/relationships/hyperlink" Target="https://www.osc.ca/en/securities-law/instruments-rules-policies/3/31-103" TargetMode="External"/><Relationship Id="rIdrkqucrtzswymrzce9jaqt" Type="http://schemas.openxmlformats.org/officeDocument/2006/relationships/hyperlink" Target="https://www.ciro.ca/rules-and-enforcement/current-rules" TargetMode="External"/><Relationship Id="rIdouomoxkil26ma05ixv4yc" Type="http://schemas.openxmlformats.org/officeDocument/2006/relationships/hyperlink" Target="https://www.ciro.ca/rules-and-enforcement/current-rules" TargetMode="External"/><Relationship Id="rIdcuyt-a81774eq70ffpk95" Type="http://schemas.openxmlformats.org/officeDocument/2006/relationships/hyperlink" Target="https://www.occ.gov/publications-and-resources/publications/comptrollers-handbook/files/commercial-real-estate-lending/pub-ch-commercial-real-estate.pdf" TargetMode="External"/><Relationship Id="rId106m8ij5xphgrlalmcj0h" Type="http://schemas.openxmlformats.org/officeDocument/2006/relationships/hyperlink" Target="https://www.occ.gov/publications-and-resources/publications/comptrollers-handbook/index-comptrollers-handbook.html" TargetMode="External"/><Relationship Id="rIdxuv7pgi1xqlmnexpmygka" Type="http://schemas.openxmlformats.org/officeDocument/2006/relationships/hyperlink" Target="https://www.occ.gov/publications-and-resources/publications/comptrollers-handbook/index-comptrollers-handbook.html" TargetMode="External"/><Relationship Id="rIdbc-padu_ab0vkz5d4u5vc" Type="http://schemas.openxmlformats.org/officeDocument/2006/relationships/hyperlink" Target="https://www.occ.gov/publications-and-resources/publications/comptrollers-handbook/index-comptrollers-handbook.html" TargetMode="External"/><Relationship Id="rId9wutwefiua1c_nwt25ach" Type="http://schemas.openxmlformats.org/officeDocument/2006/relationships/hyperlink" Target="https://www.occ.gov/publications-and-resources/publications/comptrollers-handbook/index-comptrollers-handbook.html" TargetMode="External"/><Relationship Id="rIdajroftef78o215sipzkra" Type="http://schemas.openxmlformats.org/officeDocument/2006/relationships/hyperlink" Target="https://www.occ.gov/publications-and-resources/publications/comptrollers-handbook/index-comptrollers-handbook.html" TargetMode="External"/><Relationship Id="rIdugsqp1cu6lllyevoqyv9-" Type="http://schemas.openxmlformats.org/officeDocument/2006/relationships/hyperlink" Target="https://www.federalreserve.gov/supervisionreg/srletters/sr1107.htm" TargetMode="External"/><Relationship Id="rIdtz9uh4i0lvjbw6odtvwec" Type="http://schemas.openxmlformats.org/officeDocument/2006/relationships/hyperlink" Target="https://www.federalreserve.gov/supervisionreg/srletters/sr1207.htm" TargetMode="External"/><Relationship Id="rIdeumqadpammevegsoufwgv" Type="http://schemas.openxmlformats.org/officeDocument/2006/relationships/hyperlink" Target="https://www.federalreserve.gov/supervisionreg/srletters/sr9918.htm" TargetMode="External"/><Relationship Id="rIdmz8mzny1f719fvglxc_vc" Type="http://schemas.openxmlformats.org/officeDocument/2006/relationships/hyperlink" Target="https://www.federalreserve.gov/supervisionreg/srletters/sr1611.htm" TargetMode="External"/><Relationship Id="rIdo1pfmcvheyrkao-vue5bs" Type="http://schemas.openxmlformats.org/officeDocument/2006/relationships/hyperlink" Target="https://www.federalreserve.gov/supervisionreg/regs/regy.htm" TargetMode="External"/><Relationship Id="rIdzjpuvpmyrwylut78hluue" Type="http://schemas.openxmlformats.org/officeDocument/2006/relationships/hyperlink" Target="https://www.federalreserve.gov/supervisionreg/regs/regw.htm" TargetMode="External"/><Relationship Id="rId388szgwunbw_nn_ytrejh" Type="http://schemas.openxmlformats.org/officeDocument/2006/relationships/hyperlink" Target="https://www.federalreserve.gov/publications/stress-test-policies.htm" TargetMode="External"/><Relationship Id="rId4xcjbnyh4dlhsav2yamj5" Type="http://schemas.openxmlformats.org/officeDocument/2006/relationships/hyperlink" Target="https://www.federalreserve.gov/supervisionreg/dfa-stress-tests.htm" TargetMode="External"/><Relationship Id="rIdgc7mp9n8h5i3psry2a86s" Type="http://schemas.openxmlformats.org/officeDocument/2006/relationships/hyperlink" Target="https://www.federalreserve.gov/releases/bcreg/" TargetMode="External"/><Relationship Id="rId2kjpfw6gr1dmz8dgzc7st" Type="http://schemas.openxmlformats.org/officeDocument/2006/relationships/hyperlink" Target="https://www.federalreserve.gov/newsevents/pressreleases/bcreg20230727a.htm" TargetMode="External"/><Relationship Id="rIdh5n7bdeh_tpejxvuvaefy" Type="http://schemas.openxmlformats.org/officeDocument/2006/relationships/hyperlink" Target="https://www.occ.gov/topics/charters-and-licensing/volcker-rule/index-volcker-rule.html" TargetMode="External"/><Relationship Id="rIdj2fion_hdl4wgyvkwjey5" Type="http://schemas.openxmlformats.org/officeDocument/2006/relationships/hyperlink" Target="https://www.sec.gov/divisions/marketreg/mrfaqregsho1204.htm" TargetMode="External"/><Relationship Id="rIdo4jbfq66myyzmeac0erq8" Type="http://schemas.openxmlformats.org/officeDocument/2006/relationships/hyperlink" Target="https://www.cftc.gov/LawRegulation/DoddFrankAct/Rulemakings/index.htm" TargetMode="External"/><Relationship Id="rIdj45v-q7xqrxng_4yrrhxa" Type="http://schemas.openxmlformats.org/officeDocument/2006/relationships/hyperlink" Target="https://www.bis.org/bcbs/publ/d499.htm" TargetMode="External"/><Relationship Id="rId9b1y13wymptbq2ibdgt3g" Type="http://schemas.openxmlformats.org/officeDocument/2006/relationships/hyperlink" Target="https://www.sec.gov/info/smallbus/secg/regulation-best-interest" TargetMode="External"/><Relationship Id="rIdzw_k4v7gu8x0fpbou-0fh" Type="http://schemas.openxmlformats.org/officeDocument/2006/relationships/hyperlink" Target="https://www.sec.gov/divisions/investment/adviserinfo.htm" TargetMode="External"/><Relationship Id="rIdfzzug0m_s7nk2zz49f7ji" Type="http://schemas.openxmlformats.org/officeDocument/2006/relationships/hyperlink" Target="https://www.finra.org/rules-guidance/rulebooks/finra-rules" TargetMode="External"/><Relationship Id="rIdciyedgewdobb_2hguzjen" Type="http://schemas.openxmlformats.org/officeDocument/2006/relationships/hyperlink" Target="https://www.fincen.gov/resources/statutes-regulations/bank-secrecy-act" TargetMode="External"/><Relationship Id="rId3czbf0ecrfkz-0_n-6dcf" Type="http://schemas.openxmlformats.org/officeDocument/2006/relationships/hyperlink" Target="https://bsaaml.ffiec.gov/manual" TargetMode="External"/><Relationship Id="rIdkvke9atxegfp6tff2rjew" Type="http://schemas.openxmlformats.org/officeDocument/2006/relationships/hyperlink" Target="https://www.fincen.gov/resources/statutes-regulations" TargetMode="External"/><Relationship Id="rIdgicz3ohpylqzpxjotajez" Type="http://schemas.openxmlformats.org/officeDocument/2006/relationships/hyperlink" Target="https://ofac.treasury.gov/faqs/topic/1521" TargetMode="External"/><Relationship Id="rIddme6g38kddlxdivq6o65c" Type="http://schemas.openxmlformats.org/officeDocument/2006/relationships/hyperlink" Target="https://fasb.org/page/getarticle?uid=asc326-20200101" TargetMode="External"/><Relationship Id="rIdws91wxmpzsntmxnqfp2tj" Type="http://schemas.openxmlformats.org/officeDocument/2006/relationships/hyperlink" Target="https://www.bis.org/basel_framework/chapter/CRE/1.htm" TargetMode="External"/><Relationship Id="rIdbtcx2zg4clrnoydfuran4" Type="http://schemas.openxmlformats.org/officeDocument/2006/relationships/hyperlink" Target="https://www.bis.org/basel_framework/chapter/MAR/1.htm" TargetMode="External"/><Relationship Id="rIdj87cjeghucdd3dmxl0ayu" Type="http://schemas.openxmlformats.org/officeDocument/2006/relationships/hyperlink" Target="https://www.bis.org/basel_framework/chapter/OPE/1.htm" TargetMode="External"/><Relationship Id="rIdlflrprgu-eqvbm57rftd4" Type="http://schemas.openxmlformats.org/officeDocument/2006/relationships/hyperlink" Target="https://www.bis.org/basel_framework/chapter/LEX/1.htm" TargetMode="External"/><Relationship Id="rIdowpqygpdetufbdaxcal_s" Type="http://schemas.openxmlformats.org/officeDocument/2006/relationships/hyperlink" Target="https://www.bis.org/publ/bcbs238.pdf" TargetMode="External"/><Relationship Id="rId85tvfb8qb9gu1dwepmspo" Type="http://schemas.openxmlformats.org/officeDocument/2006/relationships/hyperlink" Target="https://www.bis.org/bcbs/publ/d295.pdf" TargetMode="External"/><Relationship Id="rIdwjmr_f17fdw4uw7o84ugl" Type="http://schemas.openxmlformats.org/officeDocument/2006/relationships/hyperlink" Target="https://www.bis.org/basel_framework/chapter/CRE/52.htm" TargetMode="External"/><Relationship Id="rIdye4wmyjbxgftzgrcnfwks" Type="http://schemas.openxmlformats.org/officeDocument/2006/relationships/hyperlink" Target="https://www.bis.org/bcbs/publ/d368.pdf" TargetMode="External"/><Relationship Id="rIdhevse-2nyjfn-ngtngct6" Type="http://schemas.openxmlformats.org/officeDocument/2006/relationships/hyperlink" Target="https://www.bis.org/publ/bcbs239.pdf" TargetMode="External"/><Relationship Id="rIds0idtxcnez6-o7bpvb53q" Type="http://schemas.openxmlformats.org/officeDocument/2006/relationships/hyperlink" Target="https://www.bis.org/publ/bcbs155.pdf" TargetMode="External"/><Relationship Id="rIdkasxrsdh6vb4cxndzmhzs" Type="http://schemas.openxmlformats.org/officeDocument/2006/relationships/hyperlink" Target="https://www.bis.org/publ/bcbs144.pdf" TargetMode="External"/><Relationship Id="rIdgtjcgzuynjxhq1t6h2oxb" Type="http://schemas.openxmlformats.org/officeDocument/2006/relationships/hyperlink" Target="https://www.bis.org/bcbs/publ/d328.pdf" TargetMode="External"/><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2026-04-03T16:11:44.519Z</dcterms:created>
  <dcterms:modified xsi:type="dcterms:W3CDTF">2026-04-03T16:11:44.519Z</dcterms:modified>
</cp:coreProperties>
</file>

<file path=docProps/custom.xml><?xml version="1.0" encoding="utf-8"?>
<Properties xmlns="http://schemas.openxmlformats.org/officeDocument/2006/custom-properties" xmlns:vt="http://schemas.openxmlformats.org/officeDocument/2006/docPropsVTypes"/>
</file>