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2A4A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9BB4D4"/>
          <w:sz w:val="20"/>
          <w:szCs w:val="20"/>
        </w:rPr>
        <w:t xml:space="preserve">WORKFLOW SPECIFICATION</w:t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Market &amp; Credit Risk Intelligence Brief</w:t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9BB4D4"/>
          <w:sz w:val="24"/>
          <w:szCs w:val="24"/>
        </w:rPr>
        <w:t xml:space="preserve">For Capital Markets Team — BMO</w:t>
      </w:r>
    </w:p>
    <w:p>
      <w:pPr>
        <w:shd w:fill="1B2A4A" w:val="clear"/>
        <w:spacing w:after="480" w:before="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April 2026  ·  MCP Agent Workflow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Market Risk Officers  ·  Credit Risk Officers  ·  Capital Markets Team</w:t>
      </w:r>
    </w:p>
    <w:p>
      <w:pPr>
        <w:pBdr>
          <w:bottom w:val="single" w:color="2563EB" w:sz="6" w:space="4"/>
        </w:pBdr>
        <w:spacing w:after="400" w:before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Workflow Overview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 latest market and credit risk intelligence for a counterparty list from trusted financial domains and compile a concise brief per counterparty plus a portfolio-level summary.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Trusted domains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Bloomberg, WSJ, Reuters, FT, S&amp;P Global, Moody's, Fitch Ratings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Output — per counterparty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1-paragraph risk summary + 3–5 key links. Maximum 1 page.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Output — portfolio summary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1-page risk dashboard with signal matrix, key findings, concentration breakdown, and recommended actions.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Audience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 Risk Officers, Credit Risk Officers, Capital Markets Team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Delivery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 mode — structured markdown report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BMO_CCR_Brief_[Date]_[N]CP.md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MCP tools used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tavily_domain_search (Step 2), iris_search_counterparties (optional Step 4)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1 — User Input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user provides a list of counterparty names, comma-separated or line-separated. The agent validates the count and confirms before proceeding.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563EB" w:sz="8" w:space="4"/>
        </w:pBdr>
        <w:shd w:fill="EFF6FF" w:val="clear"/>
        <w:spacing w:after="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Example input: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JP Morgan, Goldman Sachs, Bank of America, RBC, TD Bank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Agent response:</w:t>
      </w:r>
    </w:p>
    <w:p>
      <w:pPr>
        <w:pBdr>
          <w:left w:val="single" w:color="2563EB" w:sz="8" w:space="4"/>
        </w:pBdr>
        <w:shd w:fill="EFF6FF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Confirmed — 5 counterparties. Proceeding with parallel domain searches.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2 — Parallel Domain Searches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counterparty, execute 4 tavily_domain_search calls in parallel. All counterparties are also processed in parallel — no sequential delays.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3420"/>
        <w:gridCol w:w="2520"/>
        <w:gridCol w:w="1080"/>
      </w:tblGrid>
      <w:tr>
        <w:trPr>
          <w:tblHeader/>
        </w:trP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string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results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Credit Risk &amp; Ratings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"{counterparty} credit rating downgrade default risk 2026"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spglobal.com, fitchratings.com, moodys.com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 Risk &amp; Earnings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"{counterparty} earnings guidance capital markets outlook 2026"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bloomberg.com, wsj.com, reuters.com, ft.com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 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Regulatory &amp; Compliance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"{counterparty} regulatory capital stress test compliance 2026"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bloomberg.com, reuters.com, ft.com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 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Liquidity &amp; Funding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"{counterparty} liquidity funding debt issuance 2026"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bloomberg.com, wsj.com, reuters.com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Fallback: If no results are found for any query, note "Limited public information available" and continue to next counterparty.</w:t>
      </w:r>
    </w:p>
    <w:p>
      <w:r>
        <w:br w:type="pag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3 — Data Extraction &amp; Signal Classification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counterparty, extract and classify four signals from the search results: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800"/>
        <w:gridCol w:w="456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domains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 rule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Credit Signal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S&amp;P, Fitch, Moody's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GREEN / AMBER / RED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GREEN = no downgrade, stable/positive outlook. AMBER = watch-list or mixed signals. RED = downgrade, negative outlook, or default risk elevated.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 Signal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Bloomberg, WSJ, Reuters, FT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POSITIVE / NEUTRAL / NEGATIVE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POSITIVE = beat estimates, raised guidance. NEUTRAL = in-line, no major news. NEGATIVE = missed, lowered guidance, or macro headwinds cited.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Regulatory Signal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Bloomberg, Reuters, FT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COMPLIANT / WATCH / CONCERN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COMPLIANT = no regulatory action. WATCH = under review, pending stress test. CONCERN = enforcement action, capital shortfall, or remediation order.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Liquidity Signal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Bloomberg, WSJ, Reuters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STRONG / ADEQUATE / TIGHT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STRONG = ample liquidity, active issuance at favourable spreads. ADEQUATE = normal conditions. TIGHT = spread widening, constrained issuance, or liquidity facility drawdowns.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Overall signal: take the worst signal across all four dimensions. One RED dimension = RED overall. All GREEN = GREEN overall.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4 — Per-Counterparty Brief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Compile one brief per counterparty using the template below. Maximum 1 paragraph (3–4 sentences). Links only — no content excerpts.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563EB" w:sz="8" w:space="4"/>
        </w:pBdr>
        <w:shd w:fill="EFF6FF" w:val="clear"/>
        <w:spacing w:after="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COUNTERPARTY: [Name]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INTERNAL RATING: [from IRIS if available — omit if not]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OVERALL SIGNAL: [GREEN / AMBER / RED]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SUMMARY: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[1 paragraph, max 4 sentences — credit, market, regulatory, liquidity]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KEY LINKS: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1. [Headline] — [Domain] — [URL] — [Publication date]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2. [Headline] — [Domain] — [URL] — [Publication date]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3. [Headline] — [Domain] — [URL] — [Publication date]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4. [Headline] — [Domain] — [URL] — [Publication date]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5. [Headline] — [Domain] — [URL] — [Publication date]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pBdr>
          <w:left w:val="single" w:color="2563EB" w:sz="8" w:space="4"/>
        </w:pBdr>
        <w:shd w:fill="EFF6FF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INFO STATUS: ✓ Complete / ⚠ Limited / ✗ Not Found</w:t>
      </w:r>
    </w:p>
    <w:p>
      <w:r>
        <w:br w:type="pag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5 — Portfolio Summary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Aggregate all counterparty signals into a one-page portfolio risk dashboard. Format as shown below.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440"/>
        <w:gridCol w:w="1440"/>
        <w:gridCol w:w="1440"/>
        <w:gridCol w:w="1260"/>
        <w:gridCol w:w="1260"/>
        <w:gridCol w:w="1440"/>
      </w:tblGrid>
      <w:tr>
        <w:trPr>
          <w:tblHeader/>
        </w:trPr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Regulatory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Liquidity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</w:t>
            </w:r>
          </w:p>
        </w:tc>
      </w:tr>
      <w:tr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JPM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GREEN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POSITIVE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COMPLIANT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STRONG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AMBER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WATCH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ADEQUATE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AMBER</w:t>
            </w:r>
          </w:p>
        </w:tc>
      </w:tr>
      <w:tr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AMBER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NEGATIVE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COMPLIANT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ADEQUATE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AMBER</w:t>
            </w:r>
          </w:p>
        </w:tc>
      </w:tr>
      <w:tr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RBC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GREEN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POSITIVE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COMPLIANT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STRONG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GREEN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COMPLIANT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STRONG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GREEN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Below the matrix,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 FINDINGS — 4 bullet points, each referencing a specific counterparty and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RISK CONCENTRATION — count of counterparties in GREEN / AMBER / 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RECOMMENDED ACTIONS — Priority 1 (Immediate, RED), Priority 2 (This week, AMBER), Priority 3 (Monitor, GREEN).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PREPARED BY — "Market &amp; Credit Risk Intelligence Agent | [Date]"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6 — Execution Rules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Parallelization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Execute all 4 domain searches in parallel per counterparty. Execute all counterparties in parallel. No sequential delays.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 trust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Only use URLs from: bloomberg.com, wsj.com, reuters.com, ft.com, spglobal.com, fitchratings.com, moodys.com. Discard all other domains.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Missing data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fewer than 2 results returned for a query, flag "Limited information" for that signal dimension.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Brevity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paragraph &gt;4 sentences. No bullet point &gt;1 line. No redundant information. Links only — no content excerpts.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Recency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 latest news from last 7–30 days. Timestamp all links with publication date.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opinion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Report facts and links only. Do not synthesize opinions or draw forward-looking conclusions beyond what sources state.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descriptions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 not include company background or descriptions. Assume audience knows the counterparties.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7 — Output Delivery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 output (structured markdown report)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Structure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Portfolio Summary (1 page)  2. Per-Counterparty Briefs (1 page each)  3. Appendix: all URLs with publication dates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BMO_CCR_Brief_[YYYY-MM-DD]_[N]CP.md  e.g. BMO_CCR_Brief_2026-04-01_5CP.md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Tool Mapping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3240"/>
        <w:gridCol w:w="348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tavily_domain_search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query, include_domains, max_results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calls per counterparty, all parallel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(optional)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iris_search_counterparties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counterparty_name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 internal rating only if available; omit if not found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3, 4, 5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(LLM)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Signal rules (GREEN/AMBER/RED)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Classification and formatting — no additional tool calls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 output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Structured markdown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Report rendered directly in canvas panel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Agent Constraints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call IRIS tools proactively — only call iris_search_counterparties if the user explicitly requests internal ratings.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synthesize opinions — report facts and source links 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exceed 1 page per counterparty — ruthlessly edit.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include company background descriptions.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flag data gaps — "Limited information available" is an acceptable and expected output.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Timestamp everything — include publication dates on all links.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Only use URLs from the trusted domain list — discard all others silently.</w:t>
      </w:r>
    </w:p>
    <w:p>
      <w:r>
        <w:br w:type="pag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Example Invocation</w:t>
      </w:r>
    </w:p>
    <w:p>
      <w:pPr>
        <w:pStyle w:val="Heading2"/>
        <w:pBdr>
          <w:bottom w:val="single" w:color="2563EB" w:sz="4" w:space="2"/>
        </w:pBdr>
        <w:spacing w:after="80" w:before="18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User input</w:t>
      </w:r>
    </w:p>
    <w:p>
      <w:pPr>
        <w:pBdr>
          <w:left w:val="single" w:color="2563EB" w:sz="8" w:space="4"/>
        </w:pBdr>
        <w:shd w:fill="EFF6FF" w:val="clear"/>
        <w:spacing w:after="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563EB" w:sz="8" w:space="4"/>
        </w:pBdr>
        <w:shd w:fill="EFF6FF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"Create a market and credit risk brief for: JP Morgan, Goldman Sachs, Bank of America"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4" w:space="2"/>
        </w:pBdr>
        <w:spacing w:after="80" w:before="18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Agent execution log</w:t>
      </w:r>
    </w:p>
    <w:p>
      <w:pPr>
        <w:pBdr>
          <w:left w:val="single" w:color="2563EB" w:sz="8" w:space="4"/>
        </w:pBdr>
        <w:shd w:fill="EFF6FF" w:val="clear"/>
        <w:spacing w:after="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Executing workflow for 3 counterparties...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Step 1: Input validated — 3 counterparties confirmed ✓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Step 2: Launching 12 parallel domain searches (4 queries × 3 counterparties) ✓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Step 3: Classifying signals for JPM, GS, BAC ✓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Step 4: Compiling per-counterparty briefs ✓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Step 5: Building portfolio summary ✓</w:t>
      </w:r>
    </w:p>
    <w:p>
      <w:pPr>
        <w:pBdr>
          <w:left w:val="single" w:color="2563EB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Step 6: Rules check — all links from trusted domains, timestamps present ✓</w:t>
      </w:r>
    </w:p>
    <w:p>
      <w:pPr>
        <w:pBdr>
          <w:left w:val="single" w:color="2563EB" w:sz="8" w:space="4"/>
        </w:pBdr>
        <w:shd w:fill="EFF6FF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Step 7: Generating canvas output → BMO_CCR_Brief_2026-04-01_3CP.md ✓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B2A4A" w:val="clear"/>
        <w:spacing w:after="14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Success Criteria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7020"/>
      </w:tblGrid>
      <w:tr>
        <w:trPr>
          <w:tblHeader/>
        </w:trP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SC-01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Coverage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counterparties in the input list have a brief.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SC-02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Signal completeness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four signals (Credit, Market, Regulatory, Liquidity) classified for each counterparty.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SC-03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 trust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URL in the output is from one of the 7 trusted domains.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SC-04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Brevity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counterparty brief exceeds 1 page (4 sentences + 5 links).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SC-05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Portfolio summary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Portfolio summary fits on 1 page — matrix + findings + concentration + actions.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SC-06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link includes a publication date.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SC-07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verbosity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company descriptions, no background paragraphs, no opinion text.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SC-08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gap flagging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signal with &lt;2 sources shows "Limited information" rather than a fabricated classification.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spacing w:before="6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Confidential  ·  BMO Capital Markets  ·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spacing w:after="6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BMO CAPITAL MARKETS  </w:t>
    </w:r>
    <w:r>
      <w:rPr>
        <w:rFonts w:ascii="Arial" w:cs="Arial" w:eastAsia="Arial" w:hAnsi="Arial"/>
        <w:color w:val="64748B"/>
        <w:sz w:val="16"/>
        <w:szCs w:val="16"/>
      </w:rPr>
      <w:t xml:space="preserve"> Market &amp; Credit Risk Intelligence Brief — Workflow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B2A4A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563E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2026-04-01T19:24:46.078Z</dcterms:created>
  <dcterms:modified xsi:type="dcterms:W3CDTF">2026-04-01T19:24:46.078Z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