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Why Tavily Cannot Extract SEC MD&amp;A — Direct Streaming as the Only Reliable Approach</w:t>
      </w:r>
    </w:p>
    <w:p>
      <w:pPr>
        <w:jc w:val="center"/>
      </w:pPr>
      <w:r>
        <w:rPr>
          <w:i/>
          <w:color w:val="595959"/>
          <w:sz w:val="20"/>
        </w:rPr>
        <w:t>Technical Note — RiskGPT Engineering  |  March 2026</w:t>
      </w:r>
    </w:p>
    <w:p/>
    <w:p>
      <w:pPr>
        <w:pStyle w:val="Heading1"/>
      </w:pPr>
      <w:r>
        <w:t>The Problem</w:t>
      </w:r>
    </w:p>
    <w:p>
      <w:r>
        <w:t>Tavily’s /extract endpoint is designed for typical web pages (10–500 KB). SEC EDGAR 10-K annual report filings for large financial institutions routinely exceed 10 MB of HTML. Bank of America’s FY2025 10-K (bac-20251231.htm, filed 2026-02-25) is 12,819,060 bytes — 12.2 MB. When Tavily /extract is called on a URL this large, it either times out (the 20-second timeout is reached before the document is parsed) or returns cached/partial content from its web index that may belong to entirely different companies. In testing, a query for “BAC Q4 2025 MD&amp;A” returned content attributed to Tracking Inc., Invesco, and Vital Farms — three unrelated companies. The agent synthesised a plausible-sounding response from this garbage data without flagging any issues. This is the most dangerous failure mode: silent wrong-company synthesis.</w:t>
      </w:r>
    </w:p>
    <w:p>
      <w:pPr>
        <w:pStyle w:val="Heading1"/>
      </w:pPr>
      <w:r>
        <w:t>Why Tavily /search Is No Better</w:t>
      </w:r>
    </w:p>
    <w:p>
      <w:r>
        <w:t>Switching to Tavily /search with include_domains=['sec.gov'] does not fix the problem. Keyword search returns whichever SEC document best matches the search terms — not necessarily the one the user requested. In the BAC test, /search returned a Disney filing and a 2008 BAC filing (17 years stale) for a “Q4 2025” query. The keyword match on “management discussion analysis Bank of America” retrieved documents where those terms appeared together — regardless of the filing year or company CIK.</w:t>
      </w:r>
    </w:p>
    <w:p>
      <w:pPr>
        <w:pStyle w:val="Heading1"/>
      </w:pPr>
      <w:r>
        <w:t>Why the EDGAR Submissions API Alone Is Not Sufficient</w:t>
      </w:r>
    </w:p>
    <w:p>
      <w:r>
        <w:t>The SEC submissions API (data.sec.gov/submissions/CIK{padded}.json) reliably identifies the correct filing URL. After implementing the submissions API lookup, we had the exact URL for the correct document: https://www.sec.gov/Archives/edgar/data/70858/000007085826000157/bac-20251231.htm. But passing this URL to tavily_extract returned the same wrong-company content as before. The issue is not URL resolution — it is document retrieval at scale.</w:t>
      </w:r>
    </w:p>
    <w:p>
      <w:pPr>
        <w:pStyle w:val="Heading1"/>
      </w:pPr>
      <w:r>
        <w:t>Why Direct Streaming Is the Only Reliable Approach</w:t>
      </w:r>
    </w:p>
    <w:p>
      <w:r>
        <w:t>The SEC Archives are publicly accessible static HTML files. A direct urllib.request call with a proper User-Agent header (required by SEC) fetches the raw HTML bytes. The document is read in 64 KB chunks. The MD&amp;A section (Item 7) is located by scanning for the section marker text — the first occurrence is in the Table of Contents, the second or third is the actual section body. Once the marker position is found, the next 120 KB of text is extracted, HTML tags are stripped, and clean plain text is returned.</w:t>
      </w:r>
    </w:p>
    <w:p>
      <w:r>
        <w:t>Key facts about this approach:</w:t>
      </w:r>
    </w:p>
    <w:p>
      <w:pPr>
        <w:pStyle w:val="ListBullet"/>
      </w:pPr>
      <w:r>
        <w:t>BAC’s Item 7 starts at byte position ~1,810,578 (approximately 1.8 MB into the file)</w:t>
      </w:r>
    </w:p>
    <w:p>
      <w:pPr>
        <w:pStyle w:val="ListBullet"/>
      </w:pPr>
      <w:r>
        <w:t>We read ~1.8 MB to reach the section, then extract 120 KB of content</w:t>
      </w:r>
    </w:p>
    <w:p>
      <w:pPr>
        <w:pStyle w:val="ListBullet"/>
      </w:pPr>
      <w:r>
        <w:t>Total bytes transferred: ~2 MB vs 12.2 MB full document</w:t>
      </w:r>
    </w:p>
    <w:p>
      <w:pPr>
        <w:pStyle w:val="ListBullet"/>
      </w:pPr>
      <w:r>
        <w:t>No Tavily quota consumed for SEC Archives HTML</w:t>
      </w:r>
    </w:p>
    <w:p>
      <w:pPr>
        <w:pStyle w:val="ListBullet"/>
      </w:pPr>
      <w:r>
        <w:t>Validated against BAC FY2025 (10-K), AAPL FY2024 (10-K), JPM Q3 2025 (10-Q) — all pass</w:t>
      </w:r>
    </w:p>
    <w:p>
      <w:pPr>
        <w:pStyle w:val="Heading1"/>
      </w:pPr>
      <w:r>
        <w:t>Implementation</w:t>
      </w:r>
    </w:p>
    <w:p>
      <w:r>
        <w:t>The stream_sec_section(filing_url, section_marker, content_kb=120) function in edgar_tavily_client.py implements this approach. It is called as Tier 1 in the _extract_from_filing_url() shared helper used by all four EDGAR qualitative tools (edgar_extract_section, edgar_earnings_brief, edgar_segment_analysis, edgar_risk_summary). The function is also the required fallback in ir_extract_content when the document URL is from sec.gov/Archives.</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