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Royal Bank of Canada (RBC) — CCR Deep Dive Intelligence Brief</w:t>
      </w:r>
    </w:p>
    <w:p>
      <w:r>
        <w:t xml:space="preserve">**Analysis Date:** 2026-03-27  
**Prepared By:** IRIS CCR Intelligence Agent</w:t>
      </w:r>
    </w:p>
    <w:p/>
    <w:p/>
    <w:p>
      <w:pPr>
        <w:pStyle w:val="Heading2"/>
      </w:pPr>
      <w: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**Overall Risk Signal**</w:t>
            </w:r>
          </w:p>
        </w:tc>
        <w:tc>
          <w:p>
            <w:r>
              <w:t xml:space="preserve">🟢 **GREEN**</w:t>
            </w:r>
          </w:p>
        </w:tc>
      </w:tr>
      <w:tr>
        <w:tc>
          <w:p>
            <w:r>
              <w:t xml:space="preserve">**Counterparty Code**</w:t>
            </w:r>
          </w:p>
        </w:tc>
        <w:tc>
          <w:p>
            <w:r>
              <w:t xml:space="preserve">RBC</w:t>
            </w:r>
          </w:p>
        </w:tc>
      </w:tr>
      <w:tr>
        <w:tc>
          <w:p>
            <w:r>
              <w:t xml:space="preserve">**Internal Rating**</w:t>
            </w:r>
          </w:p>
        </w:tc>
        <w:tc>
          <w:p>
            <w:r>
              <w:t xml:space="preserve">10/10 (Top Tier)</w:t>
            </w:r>
          </w:p>
        </w:tc>
      </w:tr>
      <w:tr>
        <w:tc>
          <w:p>
            <w:r>
              <w:t xml:space="preserve">**Country**</w:t>
            </w:r>
          </w:p>
        </w:tc>
        <w:tc>
          <w:p>
            <w:r>
              <w:t xml:space="preserve">Canada (AAA)</w:t>
            </w:r>
          </w:p>
        </w:tc>
      </w:tr>
      <w:tr>
        <w:tc>
          <w:p>
            <w:r>
              <w:t xml:space="preserve">**External Rating**</w:t>
            </w:r>
          </w:p>
        </w:tc>
        <w:tc>
          <w:p>
            <w:r>
              <w:t xml:space="preserve">AA- (Fitch, Stable Outlook)</w:t>
            </w:r>
          </w:p>
        </w:tc>
      </w:tr>
      <w:tr>
        <w:tc>
          <w:p>
            <w:r>
              <w:t xml:space="preserve">**Active Breaches**</w:t>
            </w:r>
          </w:p>
        </w:tc>
        <w:tc>
          <w:p>
            <w:r>
              <w:t xml:space="preserve">None</w:t>
            </w:r>
          </w:p>
        </w:tc>
      </w:tr>
    </w:tbl>
    <w:p>
      <w:r>
        <w:t xml:space="preserve">**Key Insight:** RBC maintains pristine credit quality with zero limit breaches and conservative exposure positioning. Emerging spoofing litigation is reputational but not yet material to credit profile.</w:t>
      </w:r>
    </w:p>
    <w:p/>
    <w:p/>
    <w:p>
      <w:pPr>
        <w:pStyle w:val="Heading2"/>
      </w:pPr>
      <w:r>
        <w:t xml:space="preserve">News Intelligence Assessment</w:t>
      </w:r>
    </w:p>
    <w:p>
      <w:pPr>
        <w:pStyle w:val="Heading3"/>
      </w:pPr>
      <w:r>
        <w:t xml:space="preserve">Recent Signals (Last 7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Signal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Details</w:t>
            </w:r>
          </w:p>
        </w:tc>
        <w:tc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p>
            <w:r>
              <w:t xml:space="preserve">**Fitch Rating: AA- (Stable)**</w:t>
            </w:r>
          </w:p>
        </w:tc>
        <w:tc>
          <w:p>
            <w:r>
              <w:t xml:space="preserve">✅ POSITIVE</w:t>
            </w:r>
          </w:p>
        </w:tc>
        <w:tc>
          <w:p>
            <w:r>
              <w:t xml:space="preserve">Long-term IDR affirmed with stable outlook; F1+ short-term rating confirms strong liquidity</w:t>
            </w:r>
          </w:p>
        </w:tc>
        <w:tc>
          <w:p>
            <w:r>
              <w:t xml:space="preserve">[fitchratings.com](https://www.fitchratings.com)</w:t>
            </w:r>
          </w:p>
        </w:tc>
      </w:tr>
      <w:tr>
        <w:tc>
          <w:p>
            <w:r>
              <w:t xml:space="preserve">**SpaceX IPO Syndicate**</w:t>
            </w:r>
          </w:p>
        </w:tc>
        <w:tc>
          <w:p>
            <w:r>
              <w:t xml:space="preserve">✅ POSITIVE</w:t>
            </w:r>
          </w:p>
        </w:tc>
        <w:tc>
          <w:p>
            <w:r>
              <w:t xml:space="preserve">RBC selected as 1 of 21 lead banks for SpaceX "Project Apex" mega IPO, indicating strong market position and capital markets capability</w:t>
            </w:r>
          </w:p>
        </w:tc>
        <w:tc>
          <w:p>
            <w:r>
              <w:t xml:space="preserve">[reuters.com](https://www.reuters.com/business/finance/spacex-lines-up-21-banks-mega-ipo-code-named-project-apex-2026-04-01/)</w:t>
            </w:r>
          </w:p>
        </w:tc>
      </w:tr>
      <w:tr>
        <w:tc>
          <w:p>
            <w:r>
              <w:t xml:space="preserve">**Quantum BioPharma Spoofing Lawsuit**</w:t>
            </w:r>
          </w:p>
        </w:tc>
        <w:tc>
          <w:p>
            <w:r>
              <w:t xml:space="preserve">⚠️ NEGATIVE</w:t>
            </w:r>
          </w:p>
        </w:tc>
        <w:tc>
          <w:p>
            <w:r>
              <w:t xml:space="preserve">RBC brokerage arm named in ongoing spoofing lawsuit; New York federal judge allowed most claims to proceed (filed 2026-03-31). Reputational and potential financial risk</w:t>
            </w:r>
          </w:p>
        </w:tc>
        <w:tc>
          <w:p>
            <w:r>
              <w:t xml:space="preserve">[law360.com](https://www.law360.com/articles/2459356)</w:t>
            </w:r>
          </w:p>
        </w:tc>
      </w:tr>
      <w:tr>
        <w:tc>
          <w:p>
            <w:r>
              <w:t xml:space="preserve">**Canadian Recession Warning**</w:t>
            </w:r>
          </w:p>
        </w:tc>
        <w:tc>
          <w:p>
            <w:r>
              <w:t xml:space="preserve">⚠️ NEUTRAL</w:t>
            </w:r>
          </w:p>
        </w:tc>
        <w:tc>
          <w:p>
            <w:r>
              <w:t xml:space="preserve">Bank of Canada issued recession warning affecting Canadian economy broadly; not RBC-specific but impacts operating environment</w:t>
            </w:r>
          </w:p>
        </w:tc>
        <w:tc>
          <w:p>
            <w:r>
              <w:t xml:space="preserve">[insurancenewsnet.com](https://insurancenewsnet.com)</w:t>
            </w:r>
          </w:p>
        </w:tc>
      </w:tr>
    </w:tbl>
    <w:p>
      <w:r>
        <w:t xml:space="preserve">**Overall News Signal:** Mixed. Strong market position (AA- rating, IPO syndicate) offset by emerging litigation risk.</w:t>
      </w:r>
    </w:p>
    <w:p/>
    <w:p/>
    <w:p>
      <w:pPr>
        <w:pStyle w:val="Heading2"/>
      </w:pPr>
      <w:r>
        <w:t xml:space="preserve">Internal CCR Exposure Summary</w:t>
      </w:r>
    </w:p>
    <w:p>
      <w:pPr>
        <w:pStyle w:val="Heading3"/>
      </w:pPr>
      <w:r>
        <w:t xml:space="preserve">Consolidated Limits &amp; Exposure (as of 2026-03-27)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Level</w:t>
            </w:r>
          </w:p>
        </w:tc>
        <w:tc>
          <w:p>
            <w:r>
              <w:rPr>
                <w:b/>
                <w:bCs/>
              </w:rPr>
              <w:t xml:space="preserve">Exposure</w:t>
            </w:r>
          </w:p>
        </w:tc>
        <w:tc>
          <w:p>
            <w:r>
              <w:rPr>
                <w:b/>
                <w:bCs/>
              </w:rPr>
              <w:t xml:space="preserve">Limit</w:t>
            </w:r>
          </w:p>
        </w:tc>
        <w:tc>
          <w:p>
            <w:r>
              <w:rPr>
                <w:b/>
                <w:bCs/>
              </w:rPr>
              <w:t xml:space="preserve">Headroom</w:t>
            </w:r>
          </w:p>
        </w:tc>
        <w:tc>
          <w:p>
            <w:r>
              <w:rPr>
                <w:b/>
                <w:bCs/>
              </w:rPr>
              <w:t xml:space="preserve">Utilization</w:t>
            </w:r>
          </w:p>
        </w:tc>
        <w:tc>
          <w:p>
            <w:r>
              <w:rPr>
                <w:b/>
                <w:bCs/>
              </w:rPr>
              <w:t xml:space="preserve">Currency</w:t>
            </w:r>
          </w:p>
        </w:tc>
      </w:tr>
      <w:tr>
        <w:tc>
          <w:p>
            <w:r>
              <w:t xml:space="preserve">**Customer Level**</w:t>
            </w:r>
          </w:p>
        </w:tc>
        <w:tc>
          <w:p>
            <w:r>
              <w:t xml:space="preserve">CAD 150M</w:t>
            </w:r>
          </w:p>
        </w:tc>
        <w:tc>
          <w:p>
            <w:r>
              <w:t xml:space="preserve">CAD 400M</w:t>
            </w:r>
          </w:p>
        </w:tc>
        <w:tc>
          <w:p>
            <w:r>
              <w:t xml:space="preserve">CAD 250M</w:t>
            </w:r>
          </w:p>
        </w:tc>
        <w:tc>
          <w:p>
            <w:r>
              <w:t xml:space="preserve">37.5%</w:t>
            </w:r>
          </w:p>
        </w:tc>
        <w:tc>
          <w:p>
            <w:r>
              <w:t xml:space="preserve">CAD</w:t>
            </w:r>
          </w:p>
        </w:tc>
      </w:tr>
      <w:tr>
        <w:tc>
          <w:p>
            <w:r>
              <w:t xml:space="preserve">**Connection Level**</w:t>
            </w:r>
          </w:p>
        </w:tc>
        <w:tc>
          <w:p>
            <w:r>
              <w:t xml:space="preserve">CAD 180M</w:t>
            </w:r>
          </w:p>
        </w:tc>
        <w:tc>
          <w:p>
            <w:r>
              <w:t xml:space="preserve">CAD 500M</w:t>
            </w:r>
          </w:p>
        </w:tc>
        <w:tc>
          <w:p>
            <w:r>
              <w:t xml:space="preserve">CAD 320M</w:t>
            </w:r>
          </w:p>
        </w:tc>
        <w:tc>
          <w:p>
            <w:r>
              <w:t xml:space="preserve">36.0%</w:t>
            </w:r>
          </w:p>
        </w:tc>
        <w:tc>
          <w:p>
            <w:r>
              <w:t xml:space="preserve">CAD</w:t>
            </w:r>
          </w:p>
        </w:tc>
      </w:tr>
    </w:tbl>
    <w:p>
      <w:r>
        <w:t xml:space="preserve">**Assessment:** Substantial headroom across all limit levels. No pressure on customer or connection limits.</w:t>
      </w:r>
    </w:p>
    <w:p/>
    <w:p/>
    <w:p>
      <w:pPr>
        <w:pStyle w:val="Heading2"/>
      </w:pPr>
      <w:r>
        <w:t xml:space="preserve">Exposure by Product &amp; Facility</w:t>
      </w:r>
    </w:p>
    <w:p>
      <w:pPr>
        <w:pStyle w:val="Heading3"/>
      </w:pPr>
      <w:r>
        <w:t xml:space="preserve">Detailed Breakdown (Notional Exposure)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Product</w:t>
            </w:r>
          </w:p>
        </w:tc>
        <w:tc>
          <w:p>
            <w:r>
              <w:rPr>
                <w:b/>
                <w:bCs/>
              </w:rPr>
              <w:t xml:space="preserve">Facility</w:t>
            </w:r>
          </w:p>
        </w:tc>
        <w:tc>
          <w:p>
            <w:r>
              <w:rPr>
                <w:b/>
                <w:bCs/>
              </w:rPr>
              <w:t xml:space="preserve">Legal Entity</w:t>
            </w:r>
          </w:p>
        </w:tc>
        <w:tc>
          <w:p>
            <w:r>
              <w:rPr>
                <w:b/>
                <w:bCs/>
              </w:rPr>
              <w:t xml:space="preserve">Exposure</w:t>
            </w:r>
          </w:p>
        </w:tc>
        <w:tc>
          <w:p>
            <w:r>
              <w:rPr>
                <w:b/>
                <w:bCs/>
              </w:rPr>
              <w:t xml:space="preserve">Limit</w:t>
            </w:r>
          </w:p>
        </w:tc>
        <w:tc>
          <w:p>
            <w:r>
              <w:rPr>
                <w:b/>
                <w:bCs/>
              </w:rPr>
              <w:t xml:space="preserve">Headroom</w:t>
            </w:r>
          </w:p>
        </w:tc>
        <w:tc>
          <w:p>
            <w:r>
              <w:rPr>
                <w:b/>
                <w:bCs/>
              </w:rPr>
              <w:t xml:space="preserve">Util.</w:t>
            </w:r>
          </w:p>
        </w:tc>
        <w:tc>
          <w:p>
            <w:r>
              <w:rPr>
                <w:b/>
                <w:bCs/>
              </w:rPr>
              <w:t xml:space="preserve">CSA</w:t>
            </w:r>
          </w:p>
        </w:tc>
        <w:tc>
          <w:p>
            <w:r>
              <w:rPr>
                <w:b/>
                <w:bCs/>
              </w:rPr>
              <w:t xml:space="preserve">Netting</w:t>
            </w:r>
          </w:p>
        </w:tc>
      </w:tr>
      <w:tr>
        <w:tc>
          <w:p>
            <w:r>
              <w:t xml:space="preserve">**Derivative Products**</w:t>
            </w:r>
          </w:p>
        </w:tc>
        <w:tc>
          <w:p>
            <w:r>
              <w:t xml:space="preserve">76831</w:t>
            </w:r>
          </w:p>
        </w:tc>
        <w:tc>
          <w:p>
            <w:r>
              <w:t xml:space="preserve">BCMC</w:t>
            </w:r>
          </w:p>
        </w:tc>
        <w:tc>
          <w:p>
            <w:r>
              <w:t xml:space="preserve">CAD 80M</w:t>
            </w:r>
          </w:p>
        </w:tc>
        <w:tc>
          <w:p>
            <w:r>
              <w:t xml:space="preserve">CAD 200M</w:t>
            </w:r>
          </w:p>
        </w:tc>
        <w:tc>
          <w:p>
            <w:r>
              <w:t xml:space="preserve">CAD 120M</w:t>
            </w:r>
          </w:p>
        </w:tc>
        <w:tc>
          <w:p>
            <w:r>
              <w:t xml:space="preserve">40%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**FX Forward**</w:t>
            </w:r>
          </w:p>
        </w:tc>
        <w:tc>
          <w:p>
            <w:r>
              <w:t xml:space="preserve">76830</w:t>
            </w:r>
          </w:p>
        </w:tc>
        <w:tc>
          <w:p>
            <w:r>
              <w:t xml:space="preserve">BCMC</w:t>
            </w:r>
          </w:p>
        </w:tc>
        <w:tc>
          <w:p>
            <w:r>
              <w:t xml:space="preserve">CAD 45M</w:t>
            </w:r>
          </w:p>
        </w:tc>
        <w:tc>
          <w:p>
            <w:r>
              <w:t xml:space="preserve">CAD 150M</w:t>
            </w:r>
          </w:p>
        </w:tc>
        <w:tc>
          <w:p>
            <w:r>
              <w:t xml:space="preserve">CAD 105M</w:t>
            </w:r>
          </w:p>
        </w:tc>
        <w:tc>
          <w:p>
            <w:r>
              <w:t xml:space="preserve">30%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**Interest Rate Products**</w:t>
            </w:r>
          </w:p>
        </w:tc>
        <w:tc>
          <w:p>
            <w:r>
              <w:t xml:space="preserve">76832</w:t>
            </w:r>
          </w:p>
        </w:tc>
        <w:tc>
          <w:p>
            <w:r>
              <w:t xml:space="preserve">BCMC</w:t>
            </w:r>
          </w:p>
        </w:tc>
        <w:tc>
          <w:p>
            <w:r>
              <w:t xml:space="preserve">CAD 25M</w:t>
            </w:r>
          </w:p>
        </w:tc>
        <w:tc>
          <w:p>
            <w:r>
              <w:t xml:space="preserve">CAD 100M</w:t>
            </w:r>
          </w:p>
        </w:tc>
        <w:tc>
          <w:p>
            <w:r>
              <w:t xml:space="preserve">CAD 75M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**Equity Products**</w:t>
            </w:r>
          </w:p>
        </w:tc>
        <w:tc>
          <w:p>
            <w:r>
              <w:t xml:space="preserve">76833</w:t>
            </w:r>
          </w:p>
        </w:tc>
        <w:tc>
          <w:p>
            <w:r>
              <w:t xml:space="preserve">BMO</w:t>
            </w:r>
          </w:p>
        </w:tc>
        <w:tc>
          <w:p>
            <w:r>
              <w:t xml:space="preserve">CAD 10M</w:t>
            </w:r>
          </w:p>
        </w:tc>
        <w:tc>
          <w:p>
            <w:r>
              <w:t xml:space="preserve">CAD 50M</w:t>
            </w:r>
          </w:p>
        </w:tc>
        <w:tc>
          <w:p>
            <w:r>
              <w:t xml:space="preserve">CAD 40M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**TOTAL**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**CAD 160M**</w:t>
            </w:r>
          </w:p>
        </w:tc>
        <w:tc>
          <w:p>
            <w:r>
              <w:t xml:space="preserve">**CAD 500M**</w:t>
            </w:r>
          </w:p>
        </w:tc>
        <w:tc>
          <w:p>
            <w:r>
              <w:t xml:space="preserve">**CAD 340M**</w:t>
            </w:r>
          </w:p>
        </w:tc>
        <w:tc>
          <w:p>
            <w:r>
              <w:t xml:space="preserve">**32%**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>
      <w:pPr>
        <w:pStyle w:val="Heading3"/>
      </w:pPr>
      <w:r>
        <w:t xml:space="preserve">Top 3 Exposures</w:t>
      </w:r>
    </w:p>
    <w:p>
      <w:pPr>
        <w:pStyle w:val="ListParagraph"/>
        <w:numPr>
          <w:ilvl w:val="0"/>
          <w:numId w:val="1"/>
        </w:numPr>
      </w:pPr>
      <w:r>
        <w:t xml:space="preserve">**Derivative Products (Facility 76831, BCMC)**
- Exposure: CAD 80M | Limit: CAD 200M | Headroom: CAD 120M
- Utilization: 40% | CSA: No | Netting: No
- **Action Item:** Consider negotiating CSA coverage given size of exposure.
</w:t>
      </w:r>
    </w:p>
    <w:p>
      <w:pPr>
        <w:pStyle w:val="ListParagraph"/>
        <w:numPr>
          <w:ilvl w:val="0"/>
          <w:numId w:val="1"/>
        </w:numPr>
      </w:pPr>
      <w:r>
        <w:t xml:space="preserve">**FX Forward (Facility 76830, BCMC)**
- Exposure: CAD 45M | Limit: CAD 150M | Headroom: CAD 105M
- Utilization: 30% | CSA: Yes | Netting: Yes
- **Status:** Well-collateralized and netted.
</w:t>
      </w:r>
    </w:p>
    <w:p>
      <w:pPr>
        <w:pStyle w:val="ListParagraph"/>
        <w:numPr>
          <w:ilvl w:val="0"/>
          <w:numId w:val="1"/>
        </w:numPr>
      </w:pPr>
      <w:r>
        <w:t xml:space="preserve">**Interest Rate Products (Facility 76832, BCMC)**
- Exposure: CAD 25M | Limit: CAD 100M | Headroom: CAD 75M
- Utilization: 25% | CSA: Yes | Netting: Yes
- **Status:** Conservative positioning.</w:t>
      </w:r>
    </w:p>
    <w:p/>
    <w:p/>
    <w:p>
      <w:pPr>
        <w:pStyle w:val="Heading2"/>
      </w:pPr>
      <w:r>
        <w:t xml:space="preserve">Breach &amp; Stress Analysis</w:t>
      </w:r>
    </w:p>
    <w:p>
      <w:pPr>
        <w:pStyle w:val="Heading3"/>
      </w:pPr>
      <w:r>
        <w:t xml:space="preserve">Active Limit Breaches</w:t>
      </w:r>
    </w:p>
    <w:p>
      <w:r>
        <w:t xml:space="preserve">**Status:** ✅ **NONE**</w:t>
      </w:r>
    </w:p>
    <w:p/>
    <w:p>
      <w:r>
        <w:t xml:space="preserve">RBC has zero limit breaches across:</w:t>
      </w:r>
    </w:p>
    <w:p>
      <w:pPr>
        <w:pStyle w:val="ListParagraph"/>
        <w:numPr>
          <w:ilvl w:val="0"/>
          <w:numId w:val="1"/>
        </w:numPr>
      </w:pPr>
      <w:r>
        <w:t xml:space="preserve">Customer-level limits</w:t>
      </w:r>
    </w:p>
    <w:p>
      <w:pPr>
        <w:pStyle w:val="ListParagraph"/>
        <w:numPr>
          <w:ilvl w:val="0"/>
          <w:numId w:val="1"/>
        </w:numPr>
      </w:pPr>
      <w:r>
        <w:t xml:space="preserve">Connection-level limits</w:t>
      </w:r>
    </w:p>
    <w:p>
      <w:pPr>
        <w:pStyle w:val="ListParagraph"/>
        <w:numPr>
          <w:ilvl w:val="0"/>
          <w:numId w:val="1"/>
        </w:numPr>
      </w:pPr>
      <w:r>
        <w:t xml:space="preserve">Product-level limits</w:t>
      </w:r>
    </w:p>
    <w:p>
      <w:pPr>
        <w:pStyle w:val="ListParagraph"/>
        <w:numPr>
          <w:ilvl w:val="0"/>
          <w:numId w:val="1"/>
        </w:numPr>
      </w:pPr>
      <w:r>
        <w:t xml:space="preserve">Facility-level limits</w:t>
      </w:r>
    </w:p>
    <w:p/>
    <w:p>
      <w:r>
        <w:t xml:space="preserve">All exposures are well within approved limits with substantial headroom.</w:t>
      </w:r>
    </w:p>
    <w:p/>
    <w:p/>
    <w:p>
      <w:pPr>
        <w:pStyle w:val="Heading2"/>
      </w:pPr>
      <w:r>
        <w:t xml:space="preserve">Exposure Trend Analysis</w:t>
      </w:r>
    </w:p>
    <w:p>
      <w:pPr>
        <w:pStyle w:val="Heading3"/>
      </w:pPr>
      <w:r>
        <w:t xml:space="preserve">Historical Exposure (2026-01-27 to 2026-03-27)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rPr>
                <w:b/>
                <w:bCs/>
              </w:rPr>
              <w:t xml:space="preserve">Derivative Products</w:t>
            </w:r>
          </w:p>
        </w:tc>
        <w:tc>
          <w:p>
            <w:r>
              <w:rPr>
                <w:b/>
                <w:bCs/>
              </w:rPr>
              <w:t xml:space="preserve">FX Forward</w:t>
            </w:r>
          </w:p>
        </w:tc>
        <w:tc>
          <w:p>
            <w:r>
              <w:rPr>
                <w:b/>
                <w:bCs/>
              </w:rPr>
              <w:t xml:space="preserve">Interest Rate</w:t>
            </w:r>
          </w:p>
        </w:tc>
        <w:tc>
          <w:p>
            <w:r>
              <w:rPr>
                <w:b/>
                <w:bCs/>
              </w:rPr>
              <w:t xml:space="preserve">Equity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2026-01-27</w:t>
            </w:r>
          </w:p>
        </w:tc>
        <w:tc>
          <w:p>
            <w:r>
              <w:t xml:space="preserve">CAD 80M</w:t>
            </w:r>
          </w:p>
        </w:tc>
        <w:tc>
          <w:p>
            <w:r>
              <w:t xml:space="preserve">CAD 45M</w:t>
            </w:r>
          </w:p>
        </w:tc>
        <w:tc>
          <w:p>
            <w:r>
              <w:t xml:space="preserve">CAD 25M</w:t>
            </w:r>
          </w:p>
        </w:tc>
        <w:tc>
          <w:p>
            <w:r>
              <w:t xml:space="preserve">CAD 10M</w:t>
            </w:r>
          </w:p>
        </w:tc>
        <w:tc>
          <w:p>
            <w:r>
              <w:t xml:space="preserve">CAD 160M</w:t>
            </w:r>
          </w:p>
        </w:tc>
      </w:tr>
      <w:tr>
        <w:tc>
          <w:p>
            <w:r>
              <w:t xml:space="preserve">2026-02-27</w:t>
            </w:r>
          </w:p>
        </w:tc>
        <w:tc>
          <w:p>
            <w:r>
              <w:t xml:space="preserve">CAD 80M</w:t>
            </w:r>
          </w:p>
        </w:tc>
        <w:tc>
          <w:p>
            <w:r>
              <w:t xml:space="preserve">CAD 45M</w:t>
            </w:r>
          </w:p>
        </w:tc>
        <w:tc>
          <w:p>
            <w:r>
              <w:t xml:space="preserve">CAD 25M</w:t>
            </w:r>
          </w:p>
        </w:tc>
        <w:tc>
          <w:p>
            <w:r>
              <w:t xml:space="preserve">CAD 10M</w:t>
            </w:r>
          </w:p>
        </w:tc>
        <w:tc>
          <w:p>
            <w:r>
              <w:t xml:space="preserve">CAD 160M</w:t>
            </w:r>
          </w:p>
        </w:tc>
      </w:tr>
      <w:tr>
        <w:tc>
          <w:p>
            <w:r>
              <w:t xml:space="preserve">2026-03-25</w:t>
            </w:r>
          </w:p>
        </w:tc>
        <w:tc>
          <w:p>
            <w:r>
              <w:t xml:space="preserve">CAD 80M</w:t>
            </w:r>
          </w:p>
        </w:tc>
        <w:tc>
          <w:p>
            <w:r>
              <w:t xml:space="preserve">CAD 45M</w:t>
            </w:r>
          </w:p>
        </w:tc>
        <w:tc>
          <w:p>
            <w:r>
              <w:t xml:space="preserve">CAD 25M</w:t>
            </w:r>
          </w:p>
        </w:tc>
        <w:tc>
          <w:p>
            <w:r>
              <w:t xml:space="preserve">CAD 10M</w:t>
            </w:r>
          </w:p>
        </w:tc>
        <w:tc>
          <w:p>
            <w:r>
              <w:t xml:space="preserve">CAD 160M</w:t>
            </w:r>
          </w:p>
        </w:tc>
      </w:tr>
      <w:tr>
        <w:tc>
          <w:p>
            <w:r>
              <w:t xml:space="preserve">2026-03-26</w:t>
            </w:r>
          </w:p>
        </w:tc>
        <w:tc>
          <w:p>
            <w:r>
              <w:t xml:space="preserve">CAD 80M</w:t>
            </w:r>
          </w:p>
        </w:tc>
        <w:tc>
          <w:p>
            <w:r>
              <w:t xml:space="preserve">CAD 45M</w:t>
            </w:r>
          </w:p>
        </w:tc>
        <w:tc>
          <w:p>
            <w:r>
              <w:t xml:space="preserve">CAD 25M</w:t>
            </w:r>
          </w:p>
        </w:tc>
        <w:tc>
          <w:p>
            <w:r>
              <w:t xml:space="preserve">CAD 10M</w:t>
            </w:r>
          </w:p>
        </w:tc>
        <w:tc>
          <w:p>
            <w:r>
              <w:t xml:space="preserve">CAD 160M</w:t>
            </w:r>
          </w:p>
        </w:tc>
      </w:tr>
      <w:tr>
        <w:tc>
          <w:p>
            <w:r>
              <w:t xml:space="preserve">2026-03-27</w:t>
            </w:r>
          </w:p>
        </w:tc>
        <w:tc>
          <w:p>
            <w:r>
              <w:t xml:space="preserve">CAD 80M</w:t>
            </w:r>
          </w:p>
        </w:tc>
        <w:tc>
          <w:p>
            <w:r>
              <w:t xml:space="preserve">CAD 45M</w:t>
            </w:r>
          </w:p>
        </w:tc>
        <w:tc>
          <w:p>
            <w:r>
              <w:t xml:space="preserve">CAD 25M</w:t>
            </w:r>
          </w:p>
        </w:tc>
        <w:tc>
          <w:p>
            <w:r>
              <w:t xml:space="preserve">CAD 10M</w:t>
            </w:r>
          </w:p>
        </w:tc>
        <w:tc>
          <w:p>
            <w:r>
              <w:t xml:space="preserve">CAD 160M</w:t>
            </w:r>
          </w:p>
        </w:tc>
      </w:tr>
    </w:tbl>
    <w:p>
      <w:r>
        <w:t xml:space="preserve">**Trend Assessment:**</w:t>
      </w:r>
    </w:p>
    <w:p>
      <w:pPr>
        <w:pStyle w:val="ListParagraph"/>
        <w:numPr>
          <w:ilvl w:val="0"/>
          <w:numId w:val="1"/>
        </w:numPr>
      </w:pPr>
      <w:r>
        <w:t xml:space="preserve">**Stability:** Exposure completely flat across all 5 snapshot dates</w:t>
      </w:r>
    </w:p>
    <w:p>
      <w:pPr>
        <w:pStyle w:val="ListParagraph"/>
        <w:numPr>
          <w:ilvl w:val="0"/>
          <w:numId w:val="1"/>
        </w:numPr>
      </w:pPr>
      <w:r>
        <w:t xml:space="preserve">**Delta (Jan 27 to Mar 27):** CAD 0 (no movement)</w:t>
      </w:r>
    </w:p>
    <w:p>
      <w:pPr>
        <w:pStyle w:val="ListParagraph"/>
        <w:numPr>
          <w:ilvl w:val="0"/>
          <w:numId w:val="1"/>
        </w:numPr>
      </w:pPr>
      <w:r>
        <w:t xml:space="preserve">**Volatility:** None observed</w:t>
      </w:r>
    </w:p>
    <w:p>
      <w:pPr>
        <w:pStyle w:val="ListParagraph"/>
        <w:numPr>
          <w:ilvl w:val="0"/>
          <w:numId w:val="1"/>
        </w:numPr>
      </w:pPr>
      <w:r>
        <w:t xml:space="preserve">**Interpretation:** RBC is managing derivative and FX positions conservatively with no drift or deterioration</w:t>
      </w:r>
    </w:p>
    <w:p/>
    <w:p/>
    <w:p>
      <w:pPr>
        <w:pStyle w:val="Heading2"/>
      </w:pPr>
      <w:r>
        <w:t xml:space="preserve">News vs. Internal Data Correlation</w:t>
      </w:r>
    </w:p>
    <w:p>
      <w:pPr>
        <w:pStyle w:val="Heading3"/>
      </w:pPr>
      <w:r>
        <w:t xml:space="preserve">Integrated 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Dimension</w:t>
            </w:r>
          </w:p>
        </w:tc>
        <w:tc>
          <w:p>
            <w:r>
              <w:rPr>
                <w:b/>
                <w:bCs/>
              </w:rPr>
              <w:t xml:space="preserve">News Signal</w:t>
            </w:r>
          </w:p>
        </w:tc>
        <w:tc>
          <w:p>
            <w:r>
              <w:rPr>
                <w:b/>
                <w:bCs/>
              </w:rPr>
              <w:t xml:space="preserve">Internal Data</w:t>
            </w:r>
          </w:p>
        </w:tc>
        <w:tc>
          <w:p>
            <w:r>
              <w:rPr>
                <w:b/>
                <w:bCs/>
              </w:rPr>
              <w:t xml:space="preserve">Correlation</w:t>
            </w:r>
          </w:p>
        </w:tc>
        <w:tc>
          <w:p>
            <w:r>
              <w:rPr>
                <w:b/>
                <w:bCs/>
              </w:rPr>
              <w:t xml:space="preserve">Assessment</w:t>
            </w:r>
          </w:p>
        </w:tc>
      </w:tr>
      <w:tr>
        <w:tc>
          <w:p>
            <w:r>
              <w:t xml:space="preserve">**Credit Quality**</w:t>
            </w:r>
          </w:p>
        </w:tc>
        <w:tc>
          <w:p>
            <w:r>
              <w:t xml:space="preserve">AA- (Stable) — Strong</w:t>
            </w:r>
          </w:p>
        </w:tc>
        <w:tc>
          <w:p>
            <w:r>
              <w:t xml:space="preserve">Rating 10/10 (Top Tier) — Excellent</w:t>
            </w:r>
          </w:p>
        </w:tc>
        <w:tc>
          <w:p>
            <w:r>
              <w:t xml:space="preserve">✅ Aligned</w:t>
            </w:r>
          </w:p>
        </w:tc>
        <w:tc>
          <w:p>
            <w:r>
              <w:t xml:space="preserve">Consistent strength across external and internal ratings</w:t>
            </w:r>
          </w:p>
        </w:tc>
      </w:tr>
      <w:tr>
        <w:tc>
          <w:p>
            <w:r>
              <w:t xml:space="preserve">**Market Position**</w:t>
            </w:r>
          </w:p>
        </w:tc>
        <w:tc>
          <w:p>
            <w:r>
              <w:t xml:space="preserve">IPO syndicate lead — Active</w:t>
            </w:r>
          </w:p>
        </w:tc>
        <w:tc>
          <w:p>
            <w:r>
              <w:t xml:space="preserve">CAD 180M connection exposure — Engaged</w:t>
            </w:r>
          </w:p>
        </w:tc>
        <w:tc>
          <w:p>
            <w:r>
              <w:t xml:space="preserve">✅ Aligned</w:t>
            </w:r>
          </w:p>
        </w:tc>
        <w:tc>
          <w:p>
            <w:r>
              <w:t xml:space="preserve">RBC actively managing large derivative book</w:t>
            </w:r>
          </w:p>
        </w:tc>
      </w:tr>
      <w:tr>
        <w:tc>
          <w:p>
            <w:r>
              <w:t xml:space="preserve">**Risk Appetite**</w:t>
            </w:r>
          </w:p>
        </w:tc>
        <w:tc>
          <w:p>
            <w:r>
              <w:t xml:space="preserve">Litigation exposure (spoofing)</w:t>
            </w:r>
          </w:p>
        </w:tc>
        <w:tc>
          <w:p>
            <w:r>
              <w:t xml:space="preserve">Zero breaches, conservative positioning</w:t>
            </w:r>
          </w:p>
        </w:tc>
        <w:tc>
          <w:p>
            <w:r>
              <w:t xml:space="preserve">⚠️ Divergent</w:t>
            </w:r>
          </w:p>
        </w:tc>
        <w:tc>
          <w:p>
            <w:r>
              <w:t xml:space="preserve">Internal controls appear robust despite external legal risk</w:t>
            </w:r>
          </w:p>
        </w:tc>
      </w:tr>
      <w:tr>
        <w:tc>
          <w:p>
            <w:r>
              <w:t xml:space="preserve">**Liquidity**</w:t>
            </w:r>
          </w:p>
        </w:tc>
        <w:tc>
          <w:p>
            <w:r>
              <w:t xml:space="preserve">F1+ short-term rating — Strong</w:t>
            </w:r>
          </w:p>
        </w:tc>
        <w:tc>
          <w:p>
            <w:r>
              <w:t xml:space="preserve">CSA on 2 of 4 facilities — Collateralized</w:t>
            </w:r>
          </w:p>
        </w:tc>
        <w:tc>
          <w:p>
            <w:r>
              <w:t xml:space="preserve">✅ Aligned</w:t>
            </w:r>
          </w:p>
        </w:tc>
        <w:tc>
          <w:p>
            <w:r>
              <w:t xml:space="preserve">Strong funding position with partial collateral coverage</w:t>
            </w:r>
          </w:p>
        </w:tc>
      </w:tr>
    </w:tbl>
    <w:p>
      <w:r>
        <w:t xml:space="preserve">**Key Insight:** RBC's internal CCR profile is pristine (no breaches, stable exposure, top-tier rating), but the emerging spoofing litigation represents a reputational and potential financial risk not yet reflected in limit utilization. This is a **monitoring point** rather than an immediate credit concern.</w:t>
      </w:r>
    </w:p>
    <w:p/>
    <w:p/>
    <w:p>
      <w:pPr>
        <w:pStyle w:val="Heading2"/>
      </w:pPr>
      <w:r>
        <w:t xml:space="preserve">Key Findings</w:t>
      </w:r>
    </w:p>
    <w:p>
      <w:pPr>
        <w:pStyle w:val="Heading3"/>
      </w:pPr>
      <w:r>
        <w:t xml:space="preserve">✅ Strengths</w:t>
      </w:r>
    </w:p>
    <w:p>
      <w:pPr>
        <w:pStyle w:val="ListParagraph"/>
        <w:numPr>
          <w:ilvl w:val="0"/>
          <w:numId w:val="1"/>
        </w:numPr>
      </w:pPr>
      <w:r>
        <w:t xml:space="preserve">**Zero Limit Breaches**
- All exposures well within approved limits across customer, connection, and product levels
- Highest utilization: Derivative Products at 40%
- Substantial headroom at all levels (CAD 250M customer-level, CAD 320M connection-level)
</w:t>
      </w:r>
    </w:p>
    <w:p>
      <w:pPr>
        <w:pStyle w:val="ListParagraph"/>
        <w:numPr>
          <w:ilvl w:val="0"/>
          <w:numId w:val="1"/>
        </w:numPr>
      </w:pPr>
      <w:r>
        <w:t xml:space="preserve">**Stable Exposure Trajectory**
- Exposure flat from Jan 27 to Mar 27, 2026 (CAD 160M total unchanged)
- No drift or deterioration observed
- Predictable and manageable risk profile
</w:t>
      </w:r>
    </w:p>
    <w:p>
      <w:pPr>
        <w:pStyle w:val="ListParagraph"/>
        <w:numPr>
          <w:ilvl w:val="0"/>
          <w:numId w:val="1"/>
        </w:numPr>
      </w:pPr>
      <w:r>
        <w:t xml:space="preserve">**Strong External Credit Rating**
- Fitch affirmed AA- long-term IDR with stable outlook
- F1+ short-term rating confirms strong liquidity
- Consistent with internal rating of 10/10
</w:t>
      </w:r>
    </w:p>
    <w:p>
      <w:pPr>
        <w:pStyle w:val="ListParagraph"/>
        <w:numPr>
          <w:ilvl w:val="0"/>
          <w:numId w:val="1"/>
        </w:numPr>
      </w:pPr>
      <w:r>
        <w:t xml:space="preserve">**Market Leadership Position**
- RBC selected as 1 of 21 lead banks for SpaceX "Project Apex" mega IPO
- Indicates strong capital markets capability and client confidence
- Active in high-profile transactions
</w:t>
      </w:r>
    </w:p>
    <w:p>
      <w:pPr>
        <w:pStyle w:val="ListParagraph"/>
        <w:numPr>
          <w:ilvl w:val="0"/>
          <w:numId w:val="1"/>
        </w:numPr>
      </w:pPr>
      <w:r>
        <w:t xml:space="preserve">**Partial Collateral Coverage**
- CSA agreements in place on 2 of 4 facilities (FX Forward, Interest Rate Products)
- Netting agreements on 2 of 4 facilities
- Mitigates counterparty risk on larger exposures</w:t>
      </w:r>
    </w:p>
    <w:p/>
    <w:p>
      <w:pPr>
        <w:pStyle w:val="Heading3"/>
      </w:pPr>
      <w:r>
        <w:t xml:space="preserve">⚠️ Risk Flags</w:t>
      </w:r>
    </w:p>
    <w:p>
      <w:pPr>
        <w:pStyle w:val="ListParagraph"/>
        <w:numPr>
          <w:ilvl w:val="0"/>
          <w:numId w:val="1"/>
        </w:numPr>
      </w:pPr>
      <w:r>
        <w:t xml:space="preserve">**Emerging Litigation Risk**
- RBC brokerage arm named in Quantum BioPharma spoofing lawsuit
- New York federal judge allowed most claims to proceed (filed 2026-03-31)
- Potential financial exposure and reputational damage
- **Status:** Early stage; financial impact not yet quantifiable
</w:t>
      </w:r>
    </w:p>
    <w:p>
      <w:pPr>
        <w:pStyle w:val="ListParagraph"/>
        <w:numPr>
          <w:ilvl w:val="0"/>
          <w:numId w:val="1"/>
        </w:numPr>
      </w:pPr>
      <w:r>
        <w:t xml:space="preserve">**Missing CSA on Largest Exposure**
- Derivative Products facility (CAD 80M) has no CSA agreement
- Represents 40% utilization of facility limit
- Collateral coverage should be evaluated
</w:t>
      </w:r>
    </w:p>
    <w:p>
      <w:pPr>
        <w:pStyle w:val="ListParagraph"/>
        <w:numPr>
          <w:ilvl w:val="0"/>
          <w:numId w:val="1"/>
        </w:numPr>
      </w:pPr>
      <w:r>
        <w:t xml:space="preserve">**Canadian Economic Headwinds**
- Bank of Canada issued recession warning
- May impact RBC's domestic lending and deposit base
- Not yet reflected in current exposure metrics</w:t>
      </w:r>
    </w:p>
    <w:p/>
    <w:p/>
    <w:p>
      <w:pPr>
        <w:pStyle w:val="Heading2"/>
      </w:pPr>
      <w:r>
        <w:t xml:space="preserve">Recommended Actions</w:t>
      </w:r>
    </w:p>
    <w:p>
      <w:pPr>
        <w:pStyle w:val="Heading3"/>
      </w:pPr>
      <w:r>
        <w:t xml:space="preserve">Priority 1 (Immediate)</w:t>
      </w:r>
    </w:p>
    <w:p>
      <w:r>
        <w:t xml:space="preserve">**Monitor Quantum BioPharma Spoofing Lawsuit**</w:t>
      </w:r>
    </w:p>
    <w:p>
      <w:pPr>
        <w:pStyle w:val="ListParagraph"/>
        <w:numPr>
          <w:ilvl w:val="0"/>
          <w:numId w:val="1"/>
        </w:numPr>
      </w:pPr>
      <w:r>
        <w:t xml:space="preserve">Request RBC disclosure of potential financial exposure and settlement timeline</w:t>
      </w:r>
    </w:p>
    <w:p>
      <w:pPr>
        <w:pStyle w:val="ListParagraph"/>
        <w:numPr>
          <w:ilvl w:val="0"/>
          <w:numId w:val="1"/>
        </w:numPr>
      </w:pPr>
      <w:r>
        <w:t xml:space="preserve">Assess impact on RBC's capital and earnings if adverse judgment occurs</w:t>
      </w:r>
    </w:p>
    <w:p>
      <w:pPr>
        <w:pStyle w:val="ListParagraph"/>
        <w:numPr>
          <w:ilvl w:val="0"/>
          <w:numId w:val="1"/>
        </w:numPr>
      </w:pPr>
      <w:r>
        <w:t xml:space="preserve">Monitor for any regulatory investigations or enforcement actions</w:t>
      </w:r>
    </w:p>
    <w:p>
      <w:pPr>
        <w:pStyle w:val="ListParagraph"/>
        <w:numPr>
          <w:ilvl w:val="0"/>
          <w:numId w:val="1"/>
        </w:numPr>
      </w:pPr>
      <w:r>
        <w:t xml:space="preserve">**Timeline:** Weekly updates until resolution</w:t>
      </w:r>
    </w:p>
    <w:p/>
    <w:p>
      <w:pPr>
        <w:pStyle w:val="Heading3"/>
      </w:pPr>
      <w:r>
        <w:t xml:space="preserve">Priority 2 (This Week)</w:t>
      </w:r>
    </w:p>
    <w:p>
      <w:r>
        <w:t xml:space="preserve">**Negotiate CSA Coverage on Derivative Products**</w:t>
      </w:r>
    </w:p>
    <w:p>
      <w:pPr>
        <w:pStyle w:val="ListParagraph"/>
        <w:numPr>
          <w:ilvl w:val="0"/>
          <w:numId w:val="1"/>
        </w:numPr>
      </w:pPr>
      <w:r>
        <w:t xml:space="preserve">Confirm CSA (Credit Support Annex) coverage on Derivative Products facility (76831)</w:t>
      </w:r>
    </w:p>
    <w:p>
      <w:pPr>
        <w:pStyle w:val="ListParagraph"/>
        <w:numPr>
          <w:ilvl w:val="0"/>
          <w:numId w:val="1"/>
        </w:numPr>
      </w:pPr>
      <w:r>
        <w:t xml:space="preserve">Currently marked "N" (no CSA) despite CAD 80M exposure</w:t>
      </w:r>
    </w:p>
    <w:p>
      <w:pPr>
        <w:pStyle w:val="ListParagraph"/>
        <w:numPr>
          <w:ilvl w:val="0"/>
          <w:numId w:val="1"/>
        </w:numPr>
      </w:pPr>
      <w:r>
        <w:t xml:space="preserve">Evaluate whether collateral agreement should be negotiated</w:t>
      </w:r>
    </w:p>
    <w:p>
      <w:pPr>
        <w:pStyle w:val="ListParagraph"/>
        <w:numPr>
          <w:ilvl w:val="0"/>
          <w:numId w:val="1"/>
        </w:numPr>
      </w:pPr>
      <w:r>
        <w:t xml:space="preserve">**Target:** Achieve CSA coverage on all exposures &gt;CAD 50M</w:t>
      </w:r>
    </w:p>
    <w:p/>
    <w:p>
      <w:pPr>
        <w:pStyle w:val="Heading3"/>
      </w:pPr>
      <w:r>
        <w:t xml:space="preserve">Priority 3 (Monitor)</w:t>
      </w:r>
    </w:p>
    <w:p>
      <w:r>
        <w:t xml:space="preserve">**Quarterly Exposure Monitoring**</w:t>
      </w:r>
    </w:p>
    <w:p>
      <w:pPr>
        <w:pStyle w:val="ListParagraph"/>
        <w:numPr>
          <w:ilvl w:val="0"/>
          <w:numId w:val="1"/>
        </w:numPr>
      </w:pPr>
      <w:r>
        <w:t xml:space="preserve">Continue quarterly exposure monitoring given flat trend</w:t>
      </w:r>
    </w:p>
    <w:p>
      <w:pPr>
        <w:pStyle w:val="ListParagraph"/>
        <w:numPr>
          <w:ilvl w:val="0"/>
          <w:numId w:val="1"/>
        </w:numPr>
      </w:pPr>
      <w:r>
        <w:t xml:space="preserve">RBC's zero breaches and stable exposure suggest low operational risk</w:t>
      </w:r>
    </w:p>
    <w:p>
      <w:pPr>
        <w:pStyle w:val="ListParagraph"/>
        <w:numPr>
          <w:ilvl w:val="0"/>
          <w:numId w:val="1"/>
        </w:numPr>
      </w:pPr>
      <w:r>
        <w:t xml:space="preserve">Maintain current limit structure unless business growth warrants expansion</w:t>
      </w:r>
    </w:p>
    <w:p>
      <w:pPr>
        <w:pStyle w:val="ListParagraph"/>
        <w:numPr>
          <w:ilvl w:val="0"/>
          <w:numId w:val="1"/>
        </w:numPr>
      </w:pPr>
      <w:r>
        <w:t xml:space="preserve">**Frequency:** Quarterly review at month-end</w:t>
      </w:r>
    </w:p>
    <w:p/>
    <w:p/>
    <w:p>
      <w:pPr>
        <w:pStyle w:val="Heading2"/>
      </w:pPr>
      <w:r>
        <w:t xml:space="preserve">Conclusion</w:t>
      </w:r>
    </w:p>
    <w:p>
      <w:r>
        <w:t xml:space="preserve">Royal Bank of Canada presents a **GREEN risk profile** with exceptional credit quality (AA- Fitch, internal rating 10/10), zero limit breaches, and stable exposure. The counterparty is well-positioned with CAD 250M headroom at the customer level and CAD 320M at the connection level.</w:t>
      </w:r>
    </w:p>
    <w:p/>
    <w:p>
      <w:r>
        <w:t xml:space="preserve">**Key Risk:** An emerging spoofing lawsuit against RBC's brokerage arm requires monitoring for potential financial and reputational impact, though it is not yet reflected in credit metrics or limit utilization.</w:t>
      </w:r>
    </w:p>
    <w:p/>
    <w:p>
      <w:r>
        <w:t xml:space="preserve">**Recommendation:** Maintain current limits and monitor litigation developments. Prioritize negotiating CSA coverage on the largest exposure (Derivative Products, CAD 80M) to enhance collateral protection.</w:t>
      </w:r>
    </w:p>
    <w:p/>
    <w:p/>
    <w:p>
      <w:r>
        <w:t xml:space="preserve">**Report Generated:** 2026-03-27  
**Next Review:** 2026-06-27 (Q2 2026 month-end)</w:t>
      </w:r>
    </w:p>
    <w:sectPr>
      <w:headerReference w:type="default" r:id="rId6"/>
      <w:footerReference w:type="default" r:id="rId7"/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</w:rPr>
      <w:t xml:space="preserve">Royal Bank of Canada (RBC) — CCR Deep Dive Intelligence Brief</w:t>
    </w:r>
    <w:r>
      <w:rPr>
        <w:color w:val="888888"/>
        <w:sz w:val="18"/>
        <w:szCs w:val="18"/>
      </w:rPr>
      <w:t xml:space="preserve">    |    RiskGPT Generated Content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2026-04-01T14:28:16.470Z</dcterms:created>
  <dcterms:modified xsi:type="dcterms:W3CDTF">2026-04-01T14:28:16.470Z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