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6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UI DESIGN SPECIFICATION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mcp-agent.html — Theme &amp; Colour Refresh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CSS variable remapping · Accent replacement · Text tone adjustments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·  April 2026  ·  File: mcp-agent.html  (&lt;style&gt; block, lines 22–50)</w:t>
      </w:r>
    </w:p>
    <w:p>
      <w:pPr>
        <w:pBdr>
          <w:bottom w:val="single" w:color="2E75B6" w:sz="6" w:space="4"/>
        </w:pBdr>
        <w:spacing w:after="40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4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Scope &amp; Constraints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specifies only CSS custom-property value changes in mcp-agent.html. No HTML structure, panel layout, section order, font family, font size, or JavaScript logic is changed. All edits are confined to the :root { } block (approximately lines 22–50) and the three amber/glow variable declarations within it.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2EFDA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One file, one block. Every change in this spec maps to a single CSS variable assignment. If a variable is not listed here, its value is unchanged.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4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Colour Design Rationale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reference UI (Claude desktop app, screenshot provided) uses a charcoal-based dark palette — distinctly warmer and slightly lighter than the current near-black base. Four adjustments are needed: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issue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#171717 reads as near-black, feels flat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 to #1C1C1E — Apple dark-mode charcoal. Adds subtle warmth, matches reference closely.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Sidebar / elevated surfaces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value as page (#171717), no visual layering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Slightly differentiated: sidebar #1C1C1E, elevated #242426 — gives depth without contrast shock.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Accent (amber)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#FFB300 amber/orange — warm but clashes with a neutral dark palette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with #5B8BDF — a muted slate-blue. Readable, professional, no colour fatigue on dark BG.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#e5e5e5 — slightly cool, can feel sterile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 to #EBEBF0 — marginally warmer off-white, closer to Apple's system label colour.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4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CSS Variable Change Table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all changes to the :root { } block in mcp-agent.html. Column "Current" shows the value to find; column "New" shows the exact replacement value.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400"/>
        <w:gridCol w:w="32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--bg-page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#171717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#1C1C1E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/ outer background. Warmer charcoal.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--bg-sidebar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#171717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#1C1C1E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sidebar background. Matches page.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--bg-chat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#212121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#252527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chat column background. One step lighter than page.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--bg-user-bubble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#303030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#2C2C2E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message bubble. Slightly cooler mid-grey.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--bg-input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#303030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#2C2C2E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 input box. Same as bubble for consistency.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--bg-elevated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#1a1a1a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#242426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 cards, code blocks, elevated surfaces.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#e5e5e5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#EBEBF0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text. Warmer off-white, slightly brighter.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#a1a1a1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#98989F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 text. Matches Apple secondary-label.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#737373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#6C6C72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Muted / placeholder text. Consistent with grey family.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--amber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#FFB300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#5B8BDF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accent. Slate-blue replaces amber/orange.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--amber-dim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#b37e00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#3F6AB5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Dimmed accent (hover states, pressed). Darker blue.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--amber-glow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rgba(255,179,0,0.15)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rgba(91,139,223,0.15)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Accent glow (focus rings, highlights). Same hue, low opacity.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4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Unchanged Variables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CSS variables are explicitly out of scope — their current values are retained without modification: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52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Retained value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--green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#4CAF50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Status/success colour — no change needed.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--red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#ef4444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Error/danger colour — no change needed.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--blue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#3b82f6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 and informational blue — no change needed.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--bg-hover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rgba(255,255,255,0.05)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Hover overlay — percentage-based, scales with any background.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--border-tool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#404040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 card border — still appropriate at new background values.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--transition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Animation timing — not a colour, unchanged.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font-family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Inter, -apple-system…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Font stack unchanged — Inter already matches reference.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font-size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sizes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font sizes, weights, and line-heights unchanged.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4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Accent Colour Usage Map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amber variables are referenced in these locations. Replacing the three root values (Section 3) propagates the change to all of them automatically — no other edits required.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 in mcp-agent.html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 used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element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conversation item in sidebar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border accent on selected chat item.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Focused chat input 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Border highlight when user clicks into input box.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Canvas panel active-state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Subtle border/glow on canvas when content is present.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button — active/hover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--amber-dim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Button background on hover.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 ring / glow on interactive elements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--amber-glow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Box-shadow glow on focused inputs and buttons.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 card running-state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Spinner / "running" label colour.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4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Exact Edit Instructions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mcp-agent.html in a text editor. Locate the :root block near line 22. Apply the following find-and-replace operations in order. Each operation is a single line replacement.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2CC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Run operations top-to-bottom. All values are exact — no trailing spaces or semicolons to add. The surrounding property name and semicolon remain unchanged.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140"/>
        <w:gridCol w:w="546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 (exact string)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 with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--bg-page: #171717;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--bg-page: #1C1C1E;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--bg-sidebar: #171717;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--bg-sidebar: #1C1C1E;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--bg-chat: #212121;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--bg-chat: #252527;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--bg-user-bubble: #303030;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--bg-user-bubble: #2C2C2E;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--bg-input: #303030;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--bg-input: #2C2C2E;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--bg-elevated: #1a1a1a;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--bg-elevated: #242426;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--text-primary: #e5e5e5;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--text-primary: #EBEBF0;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--text-secondary: #a1a1a1;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--text-secondary: #98989F;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--text-muted: #737373;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--text-muted: #6C6C72;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--amber: #FFB300;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--amber: #5B8BDF;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--amber-dim: #b37e00;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--amber-dim: #3F6AB5;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--amber-glow: rgba(255,179,0,0.15);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--amber-glow: rgba(91,139,223,0.15);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4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520"/>
        <w:gridCol w:w="63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warmth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background reads as dark charcoal, not pure black. Distinctly warmer than before.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Panel layering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Sidebar, chat column, and tool cards are visually distinguishable — three perceptible depth levels.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orange visible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amber or orange tones anywhere in the dark-mode UI. Active states use blue accent.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legibility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text (#EBEBF0 on #1C1C1E) passes WCAG AA contrast (≥4.5:1). Verify with a contrast checker.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Accent propagation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sidebar item, focused input border, and send button hover all show the new blue (#5B8BDF) instead of amber.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Layout unchanged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panel sizes, column positions, font sizes, or section orders changed from before the edit.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 mode unaffected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Switching to light mode (body.light-theme) shows no visual regressions — light-mode overrides are untouched.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variable count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Exactly 12 CSS variable values changed. No additional lines in the :root block were modified.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6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Confidential  ·  Sajha MCP Server  ·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SAJHA MCP SERVER  </w:t>
    </w:r>
    <w:r>
      <w:rPr>
        <w:rFonts w:ascii="Arial" w:cs="Arial" w:eastAsia="Arial" w:hAnsi="Arial"/>
        <w:color w:val="595959"/>
        <w:sz w:val="16"/>
        <w:szCs w:val="16"/>
      </w:rPr>
      <w:t xml:space="preserve"> UI Spec — mcp-agent.html Theme &amp; Colour Refresh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2026-04-01T18:48:03.060Z</dcterms:created>
  <dcterms:modified xsi:type="dcterms:W3CDTF">2026-04-01T18:48:03.060Z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