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```json</w:t>
      </w:r>
    </w:p>
    <w:p>
      <w:r>
        <w:t>{</w:t>
      </w:r>
    </w:p>
    <w:p>
      <w:r>
        <w:t>"document_metadata": {</w:t>
      </w:r>
    </w:p>
    <w:p>
      <w:r>
        <w:t>"title": "Capital Adequacy Requirements (CAR) - Guideline (2024)",</w:t>
      </w:r>
    </w:p>
    <w:p>
      <w:r>
        <w:t>"issuer": "OSFI",</w:t>
      </w:r>
    </w:p>
    <w:p>
      <w:r>
        <w:t>"effective_date": "January 2024",</w:t>
      </w:r>
    </w:p>
    <w:p>
      <w:r>
        <w:t>"publication_date": "October 31, 2023",</w:t>
      </w:r>
    </w:p>
    <w:p>
      <w:r>
        <w:t>"sector": "Banks",</w:t>
      </w:r>
    </w:p>
    <w:p>
      <w:r>
        <w:t>"document_type": "Guideline"</w:t>
      </w:r>
    </w:p>
    <w:p>
      <w:r>
        <w:t>},</w:t>
      </w:r>
    </w:p>
    <w:p>
      <w:r>
        <w:t>"summary": {</w:t>
      </w:r>
    </w:p>
    <w:p>
      <w:r>
        <w:t>"header": "Document Summary",</w:t>
      </w:r>
    </w:p>
    <w:p>
      <w:r>
        <w:t>"content": "This OSFI guideline (effective January 2024) establishes capital adequacy requirements for Canadian banks. It covers risk-based capital frameworks including credit risk, operational risk, market risk, and securitization. The document provides standardized and internal ratings-based approaches, Basel III reporting requirements, and implementation guidance for IRB institutions, including collateral management and risk validation principles."</w:t>
      </w:r>
    </w:p>
    <w:p>
      <w:r>
        <w:t>},</w:t>
      </w:r>
    </w:p>
    <w:p>
      <w:r>
        <w:t>"table_of_contents": {</w:t>
      </w:r>
    </w:p>
    <w:p>
      <w:r>
        <w:t>"header": "Table of Contents - CAR Guideline (2024)",</w:t>
      </w:r>
    </w:p>
    <w:p>
      <w:r>
        <w:t>"sections": [</w:t>
      </w:r>
    </w:p>
    <w:p>
      <w:r>
        <w:t>{</w:t>
      </w:r>
    </w:p>
    <w:p>
      <w:r>
        <w:t>"category": "Main Guideline",</w:t>
      </w:r>
    </w:p>
    <w:p>
      <w:r>
        <w:t>"items": [</w:t>
      </w:r>
    </w:p>
    <w:p>
      <w:r>
        <w:t>{</w:t>
      </w:r>
    </w:p>
    <w:p>
      <w:r>
        <w:t>"section": "Cover Letter",</w:t>
      </w:r>
    </w:p>
    <w:p>
      <w:r>
        <w:t>"title": "Introductory correspondence"</w:t>
      </w:r>
    </w:p>
    <w:p>
      <w:r>
        <w:t>},</w:t>
      </w:r>
    </w:p>
    <w:p>
      <w:r>
        <w:t>{</w:t>
      </w:r>
    </w:p>
    <w:p>
      <w:r>
        <w:t>"section": "Chapter 1",</w:t>
      </w:r>
    </w:p>
    <w:p>
      <w:r>
        <w:t>"title": "Overview of Risk-based Capital Requirements"</w:t>
      </w:r>
    </w:p>
    <w:p>
      <w:r>
        <w:t>},</w:t>
      </w:r>
    </w:p>
    <w:p>
      <w:r>
        <w:t>{</w:t>
      </w:r>
    </w:p>
    <w:p>
      <w:r>
        <w:t>"section": "Chapter 2",</w:t>
      </w:r>
    </w:p>
    <w:p>
      <w:r>
        <w:t>"title": "Definition of Capital"</w:t>
      </w:r>
    </w:p>
    <w:p>
      <w:r>
        <w:t>},</w:t>
      </w:r>
    </w:p>
    <w:p>
      <w:r>
        <w:t>{</w:t>
      </w:r>
    </w:p>
    <w:p>
      <w:r>
        <w:t>"section": "Chapter 3",</w:t>
      </w:r>
    </w:p>
    <w:p>
      <w:r>
        <w:t>"title": "Operational Risk"</w:t>
      </w:r>
    </w:p>
    <w:p>
      <w:r>
        <w:t>},</w:t>
      </w:r>
    </w:p>
    <w:p>
      <w:r>
        <w:t>{</w:t>
      </w:r>
    </w:p>
    <w:p>
      <w:r>
        <w:t>"section": "Chapter 4",</w:t>
      </w:r>
    </w:p>
    <w:p>
      <w:r>
        <w:t>"title": "Credit Risk – Standardized Approach"</w:t>
      </w:r>
    </w:p>
    <w:p>
      <w:r>
        <w:t>},</w:t>
      </w:r>
    </w:p>
    <w:p>
      <w:r>
        <w:t>{</w:t>
      </w:r>
    </w:p>
    <w:p>
      <w:r>
        <w:t>"section": "Chapter 5",</w:t>
      </w:r>
    </w:p>
    <w:p>
      <w:r>
        <w:t>"title": "Credit Risk – Internal Ratings-Based Approach"</w:t>
      </w:r>
    </w:p>
    <w:p>
      <w:r>
        <w:t>},</w:t>
      </w:r>
    </w:p>
    <w:p>
      <w:r>
        <w:t>{</w:t>
      </w:r>
    </w:p>
    <w:p>
      <w:r>
        <w:t>"section": "Chapter 6",</w:t>
      </w:r>
    </w:p>
    <w:p>
      <w:r>
        <w:t>"title": "Securitization"</w:t>
      </w:r>
    </w:p>
    <w:p>
      <w:r>
        <w:t>},</w:t>
      </w:r>
    </w:p>
    <w:p>
      <w:r>
        <w:t>{</w:t>
      </w:r>
    </w:p>
    <w:p>
      <w:r>
        <w:t>"section": "Chapter 7",</w:t>
      </w:r>
    </w:p>
    <w:p>
      <w:r>
        <w:t>"title": "Settlement and Counterparty Risk"</w:t>
      </w:r>
    </w:p>
    <w:p>
      <w:r>
        <w:t>},</w:t>
      </w:r>
    </w:p>
    <w:p>
      <w:r>
        <w:t>{</w:t>
      </w:r>
    </w:p>
    <w:p>
      <w:r>
        <w:t>"section": "Chapter 8",</w:t>
      </w:r>
    </w:p>
    <w:p>
      <w:r>
        <w:t>"title": "Credit Valuation Adjustment (CVA) Risk"</w:t>
      </w:r>
    </w:p>
    <w:p>
      <w:r>
        <w:t>},</w:t>
      </w:r>
    </w:p>
    <w:p>
      <w:r>
        <w:t>{</w:t>
      </w:r>
    </w:p>
    <w:p>
      <w:r>
        <w:t>"section": "Chapter 9",</w:t>
      </w:r>
    </w:p>
    <w:p>
      <w:r>
        <w:t>"title": "Market Risk"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"category": "Supporting Materials",</w:t>
      </w:r>
    </w:p>
    <w:p>
      <w:r>
        <w:t>"items": [</w:t>
      </w:r>
    </w:p>
    <w:p>
      <w:r>
        <w:t>{</w:t>
      </w:r>
    </w:p>
    <w:p>
      <w:r>
        <w:t>"section": "FAQ",</w:t>
      </w:r>
    </w:p>
    <w:p>
      <w:r>
        <w:t>"title": "Frequently Asked Questions – Basel III Reforms"</w:t>
      </w:r>
    </w:p>
    <w:p>
      <w:r>
        <w:t>},</w:t>
      </w:r>
    </w:p>
    <w:p>
      <w:r>
        <w:t>{</w:t>
      </w:r>
    </w:p>
    <w:p>
      <w:r>
        <w:t>"section": "BCAR Manual",</w:t>
      </w:r>
    </w:p>
    <w:p>
      <w:r>
        <w:t>"title": "Basel Capital Adequacy Reporting Manual"</w:t>
      </w:r>
    </w:p>
    <w:p>
      <w:r>
        <w:t>},</w:t>
      </w:r>
    </w:p>
    <w:p>
      <w:r>
        <w:t>{</w:t>
      </w:r>
    </w:p>
    <w:p>
      <w:r>
        <w:t>"section": "IRB Implementation",</w:t>
      </w:r>
    </w:p>
    <w:p>
      <w:r>
        <w:t>"title": "Implementation Notes for IRB Institutions"</w:t>
      </w:r>
    </w:p>
    <w:p>
      <w:r>
        <w:t>},</w:t>
      </w:r>
    </w:p>
    <w:p>
      <w:r>
        <w:t>{</w:t>
      </w:r>
    </w:p>
    <w:p>
      <w:r>
        <w:t>"section": "IRB Collateral",</w:t>
      </w:r>
    </w:p>
    <w:p>
      <w:r>
        <w:t>"title": "Collateral Management Principles for IRB Institutions"</w:t>
      </w:r>
    </w:p>
    <w:p>
      <w:r>
        <w:t>},</w:t>
      </w:r>
    </w:p>
    <w:p>
      <w:r>
        <w:t>{</w:t>
      </w:r>
    </w:p>
    <w:p>
      <w:r>
        <w:t>"section": "IRB Oversight",</w:t>
      </w:r>
    </w:p>
    <w:p>
      <w:r>
        <w:t>"title": "Oversight Expectations for IRB Institutions"</w:t>
      </w:r>
    </w:p>
    <w:p>
      <w:r>
        <w:t>},</w:t>
      </w:r>
    </w:p>
    <w:p>
      <w:r>
        <w:t>{</w:t>
      </w:r>
    </w:p>
    <w:p>
      <w:r>
        <w:t>"section": "IRB Ratings",</w:t>
      </w:r>
    </w:p>
    <w:p>
      <w:r>
        <w:t>"title": "The Use of Ratings and Estimates of Default and Loss"</w:t>
      </w:r>
    </w:p>
    <w:p>
      <w:r>
        <w:t>},</w:t>
      </w:r>
    </w:p>
    <w:p>
      <w:r>
        <w:t>{</w:t>
      </w:r>
    </w:p>
    <w:p>
      <w:r>
        <w:t>"section": "IRB Quantification",</w:t>
      </w:r>
    </w:p>
    <w:p>
      <w:r>
        <w:t>"title": "Risk Quantification at IRB Institutions"</w:t>
      </w:r>
    </w:p>
    <w:p>
      <w:r>
        <w:t>},</w:t>
      </w:r>
    </w:p>
    <w:p>
      <w:r>
        <w:t>{</w:t>
      </w:r>
    </w:p>
    <w:p>
      <w:r>
        <w:t>"section": "IRB Validation",</w:t>
      </w:r>
    </w:p>
    <w:p>
      <w:r>
        <w:t>"title": "Validating Risk Rating Systems at IRB Institutions"</w:t>
      </w:r>
    </w:p>
    <w:p>
      <w:r>
        <w:t>},</w:t>
      </w:r>
    </w:p>
    <w:p>
      <w:r>
        <w:t>{</w:t>
      </w:r>
    </w:p>
    <w:p>
      <w:r>
        <w:t>"section": "IRB Data",</w:t>
      </w:r>
    </w:p>
    <w:p>
      <w:r>
        <w:t>"title": "Data Maintenance at IRB Institutions"</w:t>
      </w:r>
    </w:p>
    <w:p>
      <w:r>
        <w:t>}</w:t>
      </w:r>
    </w:p>
    <w:p>
      <w:r>
        <w:t>]</w:t>
      </w:r>
    </w:p>
    <w:p>
      <w:r>
        <w:t>},</w:t>
      </w:r>
    </w:p>
    <w:p>
      <w:r>
        <w:t>{</w:t>
      </w:r>
    </w:p>
    <w:p>
      <w:r>
        <w:t>"category": "Assessments",</w:t>
      </w:r>
    </w:p>
    <w:p>
      <w:r>
        <w:t>"items": [</w:t>
      </w:r>
    </w:p>
    <w:p>
      <w:r>
        <w:t>{</w:t>
      </w:r>
    </w:p>
    <w:p>
      <w:r>
        <w:t>"section": "AIRB Self-Assessment",</w:t>
      </w:r>
    </w:p>
    <w:p>
      <w:r>
        <w:t>"title": "AIRB Self Assessment Instructions"</w:t>
      </w:r>
    </w:p>
    <w:p>
      <w:r>
        <w:t>},</w:t>
      </w:r>
    </w:p>
    <w:p>
      <w:r>
        <w:t>{</w:t>
      </w:r>
    </w:p>
    <w:p>
      <w:r>
        <w:t>"section": "Foreign DTI Assessment",</w:t>
      </w:r>
    </w:p>
    <w:p>
      <w:r>
        <w:t>"title": "Foreign DTI Subsidiary IRB Self Assessment Instructions"</w:t>
      </w:r>
    </w:p>
    <w:p>
      <w:r>
        <w:t>}</w:t>
      </w:r>
    </w:p>
    <w:p>
      <w:r>
        <w:t>]</w:t>
      </w:r>
    </w:p>
    <w:p>
      <w:r>
        <w:t>}</w:t>
      </w:r>
    </w:p>
    <w:p>
      <w:r>
        <w:t>]</w:t>
      </w:r>
    </w:p>
    <w:p>
      <w:r>
        <w:t>},</w:t>
      </w:r>
    </w:p>
    <w:p>
      <w:r>
        <w:t>"document_type": {</w:t>
      </w:r>
    </w:p>
    <w:p>
      <w:r>
        <w:t>"header": "Document Type Classification",</w:t>
      </w:r>
    </w:p>
    <w:p>
      <w:r>
        <w:t>"type": "Guideline",</w:t>
      </w:r>
    </w:p>
    <w:p>
      <w:r>
        <w:t>"rationale": "This is a regulatory guideline issued by OSFI (Office of the Superintendent of Financial Institutions) establishing mandatory capital adequacy requirements for banks. It provides comprehensive frameworks, definitions, and methodologies rather than step-by-step procedures, with supporting implementation materials and FAQs typical of regulatory guidelines."</w:t>
      </w:r>
    </w:p>
    <w:p>
      <w:r>
        <w:t>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