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"document_metadata": {</w:t>
      </w:r>
    </w:p>
    <w:p>
      <w:r>
        <w:t>"title": "Capital Adequacy Requirements (CAR) Guideline 2024",</w:t>
      </w:r>
    </w:p>
    <w:p>
      <w:r>
        <w:t>"authority": "OSFI",</w:t>
      </w:r>
    </w:p>
    <w:p>
      <w:r>
        <w:t>"effective_date": "January 2024",</w:t>
      </w:r>
    </w:p>
    <w:p>
      <w:r>
        <w:t>"publication_date": "October 31, 2023",</w:t>
      </w:r>
    </w:p>
    <w:p>
      <w:r>
        <w:t>"sector": "Banks",</w:t>
      </w:r>
    </w:p>
    <w:p>
      <w:r>
        <w:t>"document_type": "Guideline"</w:t>
      </w:r>
    </w:p>
    <w:p>
      <w:r>
        <w:t>},</w:t>
      </w:r>
    </w:p>
    <w:p>
      <w:r>
        <w:t>"summary": {</w:t>
      </w:r>
    </w:p>
    <w:p>
      <w:r>
        <w:t>"header": "Document Summary",</w:t>
      </w:r>
    </w:p>
    <w:p>
      <w:r>
        <w:t>"content": "This OSFI guideline (effective January 2024) establishes capital adequacy requirements for Canadian banks. It covers risk-based capital frameworks including credit risk, operational risk, market risk, and securitization. The document provides standardized and internal ratings-based approaches, Basel III reporting requirements, and implementation guidance for IRB institutions managing collateral, risk validation, and data maintenance."</w:t>
      </w:r>
    </w:p>
    <w:p>
      <w:r>
        <w:t>},</w:t>
      </w:r>
    </w:p>
    <w:p>
      <w:r>
        <w:t>"table_of_contents": {</w:t>
      </w:r>
    </w:p>
    <w:p>
      <w:r>
        <w:t>"header": "Table of Contents - Capital Adequacy Requirements (CAR) Guideline 2024",</w:t>
      </w:r>
    </w:p>
    <w:p>
      <w:r>
        <w:t>"rows": [</w:t>
      </w:r>
    </w:p>
    <w:p>
      <w:r>
        <w:t>"Section|1|Overview of Risk-based Capital Requirements",</w:t>
      </w:r>
    </w:p>
    <w:p>
      <w:r>
        <w:t>"Section|2|Definition of Capital",</w:t>
      </w:r>
    </w:p>
    <w:p>
      <w:r>
        <w:t>"Section|3|Operational Risk",</w:t>
      </w:r>
    </w:p>
    <w:p>
      <w:r>
        <w:t>"Section|4|Credit Risk – Standardized Approach",</w:t>
      </w:r>
    </w:p>
    <w:p>
      <w:r>
        <w:t>"Section|5|Credit Risk – Internal Ratings-Based Approach",</w:t>
      </w:r>
    </w:p>
    <w:p>
      <w:r>
        <w:t>"Section|6|Securitization",</w:t>
      </w:r>
    </w:p>
    <w:p>
      <w:r>
        <w:t>"Section|7|Settlement and Counterparty Risk",</w:t>
      </w:r>
    </w:p>
    <w:p>
      <w:r>
        <w:t>"Section|8|Credit Valuation Adjustment (CVA) Risk",</w:t>
      </w:r>
    </w:p>
    <w:p>
      <w:r>
        <w:t>"Section|9|Market Risk",</w:t>
      </w:r>
    </w:p>
    <w:p>
      <w:r>
        <w:t>"Appendix|—|Frequently Asked Questions – Basel III Reforms",</w:t>
      </w:r>
    </w:p>
    <w:p>
      <w:r>
        <w:t>"Appendix|—|Basel Capital Adequacy Reporting (BCAR) Manual",</w:t>
      </w:r>
    </w:p>
    <w:p>
      <w:r>
        <w:t>"Appendix|—|Implementation Notes for IRB Institutions",</w:t>
      </w:r>
    </w:p>
    <w:p>
      <w:r>
        <w:t>"Appendix|—|Collateral Management Principles for IRB Institutions",</w:t>
      </w:r>
    </w:p>
    <w:p>
      <w:r>
        <w:t>"Appendix|—|Oversight Expectations for IRB Institutions",</w:t>
      </w:r>
    </w:p>
    <w:p>
      <w:r>
        <w:t>"Appendix|—|The Use of Ratings and Estimates of Default and Loss",</w:t>
      </w:r>
    </w:p>
    <w:p>
      <w:r>
        <w:t>"Appendix|—|Risk Quantification at IRB Institutions",</w:t>
      </w:r>
    </w:p>
    <w:p>
      <w:r>
        <w:t>"Appendix|—|Validating Risk Rating Systems at IRB Institutions",</w:t>
      </w:r>
    </w:p>
    <w:p>
      <w:r>
        <w:t>"Appendix|—|Data Maintenance at IRB Institutions",</w:t>
      </w:r>
    </w:p>
    <w:p>
      <w:r>
        <w:t>"Appendix|—|AIRB Self Assessment Instructions",</w:t>
      </w:r>
    </w:p>
    <w:p>
      <w:r>
        <w:t>"Appendix|—|Foreign DTI Subsidiary IRB Self Assessment Instructions"</w:t>
      </w:r>
    </w:p>
    <w:p>
      <w:r>
        <w:t>]</w:t>
      </w:r>
    </w:p>
    <w:p>
      <w:r>
        <w:t>},</w:t>
      </w:r>
    </w:p>
    <w:p>
      <w:r>
        <w:t>"document_type": {</w:t>
      </w:r>
    </w:p>
    <w:p>
      <w:r>
        <w:t>"header": "Document Type Identification",</w:t>
      </w:r>
    </w:p>
    <w:p>
      <w:r>
        <w:t>"type": "Guideline",</w:t>
      </w:r>
    </w:p>
    <w:p>
      <w:r>
        <w:t>"rationale": "This is a regulatory guideline issued by OSFI (Office of the Superintendent of Financial Institutions) establishing capital adequacy requirements for banks. It provides comprehensive regulatory standards, frameworks, and implementation guidance across multiple risk categories rather than prescribing specific operational procedures or policies."</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