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"document_metadata": {</w:t>
      </w:r>
    </w:p>
    <w:p>
      <w:r>
        <w:t>"title": "Capital Adequacy Requirements (CAR) - Guideline",</w:t>
      </w:r>
    </w:p>
    <w:p>
      <w:r>
        <w:t>"authority": "OSFI",</w:t>
      </w:r>
    </w:p>
    <w:p>
      <w:r>
        <w:t>"effective_date": "January 2024",</w:t>
      </w:r>
    </w:p>
    <w:p>
      <w:r>
        <w:t>"publication_date": "October 31, 2023",</w:t>
      </w:r>
    </w:p>
    <w:p>
      <w:r>
        <w:t>"sector": "Banks",</w:t>
      </w:r>
    </w:p>
    <w:p>
      <w:r>
        <w:t>"document_type": "Guideline"</w:t>
      </w:r>
    </w:p>
    <w:p>
      <w:r>
        <w:t>},</w:t>
      </w:r>
    </w:p>
    <w:p>
      <w:r>
        <w:t>"summary": {</w:t>
      </w:r>
    </w:p>
    <w:p>
      <w:r>
        <w:t>"content": "This OSFI guideline (effective January 2024) establishes capital adequacy requirements for Canadian banks under Basel III framework. It covers risk-based capital definitions, operational and credit risk approaches, securitization, counterparty risk, market risk, and CVA risk. Includes implementation notes for IRB institutions and reporting requirements."</w:t>
      </w:r>
    </w:p>
    <w:p>
      <w:r>
        <w:t>},</w:t>
      </w:r>
    </w:p>
    <w:p>
      <w:r>
        <w:t>"table_of_contents": {</w:t>
      </w:r>
    </w:p>
    <w:p>
      <w:r>
        <w:t>"main_sections": [</w:t>
      </w:r>
    </w:p>
    <w:p>
      <w:r>
        <w:t>{</w:t>
      </w:r>
    </w:p>
    <w:p>
      <w:r>
        <w:t>"section_number": 1,</w:t>
      </w:r>
    </w:p>
    <w:p>
      <w:r>
        <w:t>"title": "Overview of Risk-based Capital Requirements"</w:t>
      </w:r>
    </w:p>
    <w:p>
      <w:r>
        <w:t>},</w:t>
      </w:r>
    </w:p>
    <w:p>
      <w:r>
        <w:t>{</w:t>
      </w:r>
    </w:p>
    <w:p>
      <w:r>
        <w:t>"section_number": 2,</w:t>
      </w:r>
    </w:p>
    <w:p>
      <w:r>
        <w:t>"title": "Definition of Capital"</w:t>
      </w:r>
    </w:p>
    <w:p>
      <w:r>
        <w:t>},</w:t>
      </w:r>
    </w:p>
    <w:p>
      <w:r>
        <w:t>{</w:t>
      </w:r>
    </w:p>
    <w:p>
      <w:r>
        <w:t>"section_number": 3,</w:t>
      </w:r>
    </w:p>
    <w:p>
      <w:r>
        <w:t>"title": "Operational Risk"</w:t>
      </w:r>
    </w:p>
    <w:p>
      <w:r>
        <w:t>},</w:t>
      </w:r>
    </w:p>
    <w:p>
      <w:r>
        <w:t>{</w:t>
      </w:r>
    </w:p>
    <w:p>
      <w:r>
        <w:t>"section_number": 4,</w:t>
      </w:r>
    </w:p>
    <w:p>
      <w:r>
        <w:t>"title": "Credit Risk – Standardized Approach"</w:t>
      </w:r>
    </w:p>
    <w:p>
      <w:r>
        <w:t>},</w:t>
      </w:r>
    </w:p>
    <w:p>
      <w:r>
        <w:t>{</w:t>
      </w:r>
    </w:p>
    <w:p>
      <w:r>
        <w:t>"section_number": 5,</w:t>
      </w:r>
    </w:p>
    <w:p>
      <w:r>
        <w:t>"title": "Credit Risk – Internal Ratings-Based Approach"</w:t>
      </w:r>
    </w:p>
    <w:p>
      <w:r>
        <w:t>},</w:t>
      </w:r>
    </w:p>
    <w:p>
      <w:r>
        <w:t>{</w:t>
      </w:r>
    </w:p>
    <w:p>
      <w:r>
        <w:t>"section_number": 6,</w:t>
      </w:r>
    </w:p>
    <w:p>
      <w:r>
        <w:t>"title": "Securitization"</w:t>
      </w:r>
    </w:p>
    <w:p>
      <w:r>
        <w:t>},</w:t>
      </w:r>
    </w:p>
    <w:p>
      <w:r>
        <w:t>{</w:t>
      </w:r>
    </w:p>
    <w:p>
      <w:r>
        <w:t>"section_number": 7,</w:t>
      </w:r>
    </w:p>
    <w:p>
      <w:r>
        <w:t>"title": "Settlement and Counterparty Risk"</w:t>
      </w:r>
    </w:p>
    <w:p>
      <w:r>
        <w:t>},</w:t>
      </w:r>
    </w:p>
    <w:p>
      <w:r>
        <w:t>{</w:t>
      </w:r>
    </w:p>
    <w:p>
      <w:r>
        <w:t>"section_number": 8,</w:t>
      </w:r>
    </w:p>
    <w:p>
      <w:r>
        <w:t>"title": "Credit Valuation Adjustment (CVA) Risk"</w:t>
      </w:r>
    </w:p>
    <w:p>
      <w:r>
        <w:t>},</w:t>
      </w:r>
    </w:p>
    <w:p>
      <w:r>
        <w:t>{</w:t>
      </w:r>
    </w:p>
    <w:p>
      <w:r>
        <w:t>"section_number": 9,</w:t>
      </w:r>
    </w:p>
    <w:p>
      <w:r>
        <w:t>"title": "Market Risk"</w:t>
      </w:r>
    </w:p>
    <w:p>
      <w:r>
        <w:t>}</w:t>
      </w:r>
    </w:p>
    <w:p>
      <w:r>
        <w:t>],</w:t>
      </w:r>
    </w:p>
    <w:p>
      <w:r>
        <w:t>"supplementary_sections": [</w:t>
      </w:r>
    </w:p>
    <w:p>
      <w:r>
        <w:t>{</w:t>
      </w:r>
    </w:p>
    <w:p>
      <w:r>
        <w:t>"title": "Frequently Asked Questions – Basel III Reforms"</w:t>
      </w:r>
    </w:p>
    <w:p>
      <w:r>
        <w:t>},</w:t>
      </w:r>
    </w:p>
    <w:p>
      <w:r>
        <w:t>{</w:t>
      </w:r>
    </w:p>
    <w:p>
      <w:r>
        <w:t>"title": "Basel Capital Adequacy Reporting (BCAR) Manual"</w:t>
      </w:r>
    </w:p>
    <w:p>
      <w:r>
        <w:t>},</w:t>
      </w:r>
    </w:p>
    <w:p>
      <w:r>
        <w:t>{</w:t>
      </w:r>
    </w:p>
    <w:p>
      <w:r>
        <w:t>"title": "Implementation Notes for IRB Institutions"</w:t>
      </w:r>
    </w:p>
    <w:p>
      <w:r>
        <w:t>},</w:t>
      </w:r>
    </w:p>
    <w:p>
      <w:r>
        <w:t>{</w:t>
      </w:r>
    </w:p>
    <w:p>
      <w:r>
        <w:t>"title": "Collateral Management Principles for IRB Institutions"</w:t>
      </w:r>
    </w:p>
    <w:p>
      <w:r>
        <w:t>},</w:t>
      </w:r>
    </w:p>
    <w:p>
      <w:r>
        <w:t>{</w:t>
      </w:r>
    </w:p>
    <w:p>
      <w:r>
        <w:t>"title": "Oversight Expectations for IRB Institutions"</w:t>
      </w:r>
    </w:p>
    <w:p>
      <w:r>
        <w:t>},</w:t>
      </w:r>
    </w:p>
    <w:p>
      <w:r>
        <w:t>{</w:t>
      </w:r>
    </w:p>
    <w:p>
      <w:r>
        <w:t>"title": "The Use of Ratings and Estimates of Default and Loss"</w:t>
      </w:r>
    </w:p>
    <w:p>
      <w:r>
        <w:t>},</w:t>
      </w:r>
    </w:p>
    <w:p>
      <w:r>
        <w:t>{</w:t>
      </w:r>
    </w:p>
    <w:p>
      <w:r>
        <w:t>"title": "Risk Quantification at IRB Institutions"</w:t>
      </w:r>
    </w:p>
    <w:p>
      <w:r>
        <w:t>},</w:t>
      </w:r>
    </w:p>
    <w:p>
      <w:r>
        <w:t>{</w:t>
      </w:r>
    </w:p>
    <w:p>
      <w:r>
        <w:t>"title": "Validating Risk Rating Systems at IRB Institutions"</w:t>
      </w:r>
    </w:p>
    <w:p>
      <w:r>
        <w:t>},</w:t>
      </w:r>
    </w:p>
    <w:p>
      <w:r>
        <w:t>{</w:t>
      </w:r>
    </w:p>
    <w:p>
      <w:r>
        <w:t>"title": "Data Maintenance at IRB Institutions"</w:t>
      </w:r>
    </w:p>
    <w:p>
      <w:r>
        <w:t>}</w:t>
      </w:r>
    </w:p>
    <w:p>
      <w:r>
        <w:t>]</w:t>
      </w:r>
    </w:p>
    <w:p>
      <w:r>
        <w:t>},</w:t>
      </w:r>
    </w:p>
    <w:p>
      <w:r>
        <w:t>"document_type": {</w:t>
      </w:r>
    </w:p>
    <w:p>
      <w:r>
        <w:t>"classification": "Guideline",</w:t>
      </w:r>
    </w:p>
    <w:p>
      <w:r>
        <w:t>"rationale": "This is a regulatory guideline issued by OSFI (Office of the Superintendent of Financial Institutions) establishing mandatory capital adequacy requirements for banks. The document provides comprehensive regulatory standards, definitions, and methodologies across multiple risk categories rather than step-by-step procedures, making it a policy-level guideline rather than an SOP or procedure."</w:t>
      </w:r>
    </w:p>
    <w:p>
      <w:r>
        <w:t>}</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