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 Guideline (2024)",</w:t>
      </w:r>
    </w:p>
    <w:p>
      <w:r>
        <w:t>"issuer": "OSFI",</w:t>
      </w:r>
    </w:p>
    <w:p>
      <w:r>
        <w:t>"effective_date": "January 2024",</w:t>
      </w:r>
    </w:p>
    <w:p>
      <w:r>
        <w:t>"publication_date": "October 31, 2023",</w:t>
      </w:r>
    </w:p>
    <w:p>
      <w:r>
        <w:t>"sector": "Banks",</w:t>
      </w:r>
    </w:p>
    <w:p>
      <w:r>
        <w:t>"document_type": "Guideline"</w:t>
      </w:r>
    </w:p>
    <w:p>
      <w:r>
        <w:t>},</w:t>
      </w:r>
    </w:p>
    <w:p>
      <w:r>
        <w:t>"summary": {</w:t>
      </w:r>
    </w:p>
    <w:p>
      <w:r>
        <w:t>"content": "This OSFI guideline (effective January 2024) establishes capital adequacy requirements for Canadian banks under Basel III framework. It covers risk-based capital requirements, capital definitions, operational and credit risk assessment, securitization, counterparty risk, market risk, and CVA risk. Includes implementation notes for IRB institutions and reporting manuals."</w:t>
      </w:r>
    </w:p>
    <w:p>
      <w:r>
        <w:t>},</w:t>
      </w:r>
    </w:p>
    <w:p>
      <w:r>
        <w:t>"table_of_contents": {</w:t>
      </w:r>
    </w:p>
    <w:p>
      <w:r>
        <w:t>"main_guideline": [</w:t>
      </w:r>
    </w:p>
    <w:p>
      <w:r>
        <w:t>{</w:t>
      </w:r>
    </w:p>
    <w:p>
      <w:r>
        <w:t>"section": 1,</w:t>
      </w:r>
    </w:p>
    <w:p>
      <w:r>
        <w:t>"topic": "Overview of Risk-based Capital Requirements"</w:t>
      </w:r>
    </w:p>
    <w:p>
      <w:r>
        <w:t>},</w:t>
      </w:r>
    </w:p>
    <w:p>
      <w:r>
        <w:t>{</w:t>
      </w:r>
    </w:p>
    <w:p>
      <w:r>
        <w:t>"section": 2,</w:t>
      </w:r>
    </w:p>
    <w:p>
      <w:r>
        <w:t>"topic": "Definition of Capital"</w:t>
      </w:r>
    </w:p>
    <w:p>
      <w:r>
        <w:t>},</w:t>
      </w:r>
    </w:p>
    <w:p>
      <w:r>
        <w:t>{</w:t>
      </w:r>
    </w:p>
    <w:p>
      <w:r>
        <w:t>"section": 3,</w:t>
      </w:r>
    </w:p>
    <w:p>
      <w:r>
        <w:t>"topic": "Operational Risk"</w:t>
      </w:r>
    </w:p>
    <w:p>
      <w:r>
        <w:t>},</w:t>
      </w:r>
    </w:p>
    <w:p>
      <w:r>
        <w:t>{</w:t>
      </w:r>
    </w:p>
    <w:p>
      <w:r>
        <w:t>"section": 4,</w:t>
      </w:r>
    </w:p>
    <w:p>
      <w:r>
        <w:t>"topic": "Credit Risk – Standardized Approach"</w:t>
      </w:r>
    </w:p>
    <w:p>
      <w:r>
        <w:t>},</w:t>
      </w:r>
    </w:p>
    <w:p>
      <w:r>
        <w:t>{</w:t>
      </w:r>
    </w:p>
    <w:p>
      <w:r>
        <w:t>"section": 5,</w:t>
      </w:r>
    </w:p>
    <w:p>
      <w:r>
        <w:t>"topic": "Credit Risk – Internal Ratings-Based Approach"</w:t>
      </w:r>
    </w:p>
    <w:p>
      <w:r>
        <w:t>},</w:t>
      </w:r>
    </w:p>
    <w:p>
      <w:r>
        <w:t>{</w:t>
      </w:r>
    </w:p>
    <w:p>
      <w:r>
        <w:t>"section": 6,</w:t>
      </w:r>
    </w:p>
    <w:p>
      <w:r>
        <w:t>"topic": "Securitization"</w:t>
      </w:r>
    </w:p>
    <w:p>
      <w:r>
        <w:t>},</w:t>
      </w:r>
    </w:p>
    <w:p>
      <w:r>
        <w:t>{</w:t>
      </w:r>
    </w:p>
    <w:p>
      <w:r>
        <w:t>"section": 7,</w:t>
      </w:r>
    </w:p>
    <w:p>
      <w:r>
        <w:t>"topic": "Settlement and Counterparty Risk"</w:t>
      </w:r>
    </w:p>
    <w:p>
      <w:r>
        <w:t>},</w:t>
      </w:r>
    </w:p>
    <w:p>
      <w:r>
        <w:t>{</w:t>
      </w:r>
    </w:p>
    <w:p>
      <w:r>
        <w:t>"section": 8,</w:t>
      </w:r>
    </w:p>
    <w:p>
      <w:r>
        <w:t>"topic": "Credit Valuation Adjustment (CVA) Risk"</w:t>
      </w:r>
    </w:p>
    <w:p>
      <w:r>
        <w:t>},</w:t>
      </w:r>
    </w:p>
    <w:p>
      <w:r>
        <w:t>{</w:t>
      </w:r>
    </w:p>
    <w:p>
      <w:r>
        <w:t>"section": 9,</w:t>
      </w:r>
    </w:p>
    <w:p>
      <w:r>
        <w:t>"topic": "Market Risk"</w:t>
      </w:r>
    </w:p>
    <w:p>
      <w:r>
        <w:t>}</w:t>
      </w:r>
    </w:p>
    <w:p>
      <w:r>
        <w:t>],</w:t>
      </w:r>
    </w:p>
    <w:p>
      <w:r>
        <w:t>"supporting_materials": [</w:t>
      </w:r>
    </w:p>
    <w:p>
      <w:r>
        <w:t>{</w:t>
      </w:r>
    </w:p>
    <w:p>
      <w:r>
        <w:t>"topic": "Frequently Asked Questions – Basel III Reforms"</w:t>
      </w:r>
    </w:p>
    <w:p>
      <w:r>
        <w:t>},</w:t>
      </w:r>
    </w:p>
    <w:p>
      <w:r>
        <w:t>{</w:t>
      </w:r>
    </w:p>
    <w:p>
      <w:r>
        <w:t>"topic": "Cover Letter"</w:t>
      </w:r>
    </w:p>
    <w:p>
      <w:r>
        <w:t>}</w:t>
      </w:r>
    </w:p>
    <w:p>
      <w:r>
        <w:t>],</w:t>
      </w:r>
    </w:p>
    <w:p>
      <w:r>
        <w:t>"bcar_reporting": [</w:t>
      </w:r>
    </w:p>
    <w:p>
      <w:r>
        <w:t>{</w:t>
      </w:r>
    </w:p>
    <w:p>
      <w:r>
        <w:t>"topic": "Basel Capital Adequacy Reporting Manual"</w:t>
      </w:r>
    </w:p>
    <w:p>
      <w:r>
        <w:t>}</w:t>
      </w:r>
    </w:p>
    <w:p>
      <w:r>
        <w:t>],</w:t>
      </w:r>
    </w:p>
    <w:p>
      <w:r>
        <w:t>"irb_implementation": [</w:t>
      </w:r>
    </w:p>
    <w:p>
      <w:r>
        <w:t>{</w:t>
      </w:r>
    </w:p>
    <w:p>
      <w:r>
        <w:t>"topic": "Implementation Notes for IRB Institutions"</w:t>
      </w:r>
    </w:p>
    <w:p>
      <w:r>
        <w:t>},</w:t>
      </w:r>
    </w:p>
    <w:p>
      <w:r>
        <w:t>{</w:t>
      </w:r>
    </w:p>
    <w:p>
      <w:r>
        <w:t>"topic": "Collateral Management Principles"</w:t>
      </w:r>
    </w:p>
    <w:p>
      <w:r>
        <w:t>},</w:t>
      </w:r>
    </w:p>
    <w:p>
      <w:r>
        <w:t>{</w:t>
      </w:r>
    </w:p>
    <w:p>
      <w:r>
        <w:t>"topic": "Oversight Expectations"</w:t>
      </w:r>
    </w:p>
    <w:p>
      <w:r>
        <w:t>},</w:t>
      </w:r>
    </w:p>
    <w:p>
      <w:r>
        <w:t>{</w:t>
      </w:r>
    </w:p>
    <w:p>
      <w:r>
        <w:t>"topic": "Use of Ratings &amp; Default/Loss Estimates"</w:t>
      </w:r>
    </w:p>
    <w:p>
      <w:r>
        <w:t>},</w:t>
      </w:r>
    </w:p>
    <w:p>
      <w:r>
        <w:t>{</w:t>
      </w:r>
    </w:p>
    <w:p>
      <w:r>
        <w:t>"topic": "Risk Quantification"</w:t>
      </w:r>
    </w:p>
    <w:p>
      <w:r>
        <w:t>},</w:t>
      </w:r>
    </w:p>
    <w:p>
      <w:r>
        <w:t>{</w:t>
      </w:r>
    </w:p>
    <w:p>
      <w:r>
        <w:t>"topic": "Validating Risk Rating Systems"</w:t>
      </w:r>
    </w:p>
    <w:p>
      <w:r>
        <w:t>},</w:t>
      </w:r>
    </w:p>
    <w:p>
      <w:r>
        <w:t>{</w:t>
      </w:r>
    </w:p>
    <w:p>
      <w:r>
        <w:t>"topic": "Data Maintenance"</w:t>
      </w:r>
    </w:p>
    <w:p>
      <w:r>
        <w:t>},</w:t>
      </w:r>
    </w:p>
    <w:p>
      <w:r>
        <w:t>{</w:t>
      </w:r>
    </w:p>
    <w:p>
      <w:r>
        <w:t>"topic": "AIRB Self Assessment Instructions"</w:t>
      </w:r>
    </w:p>
    <w:p>
      <w:r>
        <w:t>},</w:t>
      </w:r>
    </w:p>
    <w:p>
      <w:r>
        <w:t>{</w:t>
      </w:r>
    </w:p>
    <w:p>
      <w:r>
        <w:t>"topic": "Foreign DTI Subsidiary IRB Self Assessment"</w:t>
      </w:r>
    </w:p>
    <w:p>
      <w:r>
        <w:t>}</w:t>
      </w:r>
    </w:p>
    <w:p>
      <w:r>
        <w:t>]</w:t>
      </w:r>
    </w:p>
    <w:p>
      <w:r>
        <w:t>},</w:t>
      </w:r>
    </w:p>
    <w:p>
      <w:r>
        <w:t>"document_type": {</w:t>
      </w:r>
    </w:p>
    <w:p>
      <w:r>
        <w:t>"classification": "Guideline",</w:t>
      </w:r>
    </w:p>
    <w:p>
      <w:r>
        <w:t>"rationale": "This is a regulatory guideline issued by OSFI (Office of the Superintendent of Financial Institutions) establishing mandatory capital adequacy requirements for banks. It provides comprehensive frameworks, definitions, and methodologies across nine chapters covering risk-based capital requirements, rather than prescribing step-by-step procedures or organizational policies."</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