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Bank — Data Retention Standard (Excerpt)</w:t>
      </w:r>
    </w:p>
    <w:p>
      <w:r>
        <w:t>Effective Date: 2025-03-01</w:t>
      </w:r>
    </w:p>
    <w:p>
      <w:r>
        <w:t>Owner: Information Governance</w:t>
      </w:r>
    </w:p>
    <w:p>
      <w:pPr>
        <w:pStyle w:val="Heading2"/>
      </w:pPr>
      <w:r>
        <w:t>1. Scope</w:t>
      </w:r>
    </w:p>
    <w:p>
      <w:r>
        <w:t>This standard applies to customer and internal records stored in approved systems.</w:t>
      </w:r>
    </w:p>
    <w:p>
      <w:pPr>
        <w:pStyle w:val="Heading2"/>
      </w:pPr>
      <w:r>
        <w:t>2. Requirements</w:t>
      </w:r>
    </w:p>
    <w:p>
      <w:r>
        <w:t>MUST: Customer statements must be retained for at least 7 years.</w:t>
      </w:r>
    </w:p>
    <w:p>
      <w:r>
        <w:t>MUST: Deletion requests must be logged and approved by the data owner.</w:t>
      </w:r>
    </w:p>
    <w:p>
      <w:r>
        <w:t>SHOULD: Retention schedules should be reviewed annually.</w:t>
      </w:r>
    </w:p>
    <w:p>
      <w:pPr>
        <w:pStyle w:val="Heading2"/>
      </w:pPr>
      <w:r>
        <w:t>3. Table — Record Classes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Record Class</w:t>
            </w:r>
          </w:p>
        </w:tc>
        <w:tc>
          <w:tcPr>
            <w:tcW w:type="dxa" w:w="2880"/>
          </w:tcPr>
          <w:p>
            <w:r>
              <w:t>Minimum Retention</w:t>
            </w:r>
          </w:p>
        </w:tc>
        <w:tc>
          <w:tcPr>
            <w:tcW w:type="dxa" w:w="2880"/>
          </w:tcPr>
          <w:p>
            <w:r>
              <w:t>System of Record</w:t>
            </w:r>
          </w:p>
        </w:tc>
      </w:tr>
      <w:tr>
        <w:tc>
          <w:tcPr>
            <w:tcW w:type="dxa" w:w="2880"/>
          </w:tcPr>
          <w:p>
            <w:r>
              <w:t>Customer Statements</w:t>
            </w:r>
          </w:p>
        </w:tc>
        <w:tc>
          <w:tcPr>
            <w:tcW w:type="dxa" w:w="2880"/>
          </w:tcPr>
          <w:p>
            <w:r>
              <w:t>7 years</w:t>
            </w:r>
          </w:p>
        </w:tc>
        <w:tc>
          <w:tcPr>
            <w:tcW w:type="dxa" w:w="2880"/>
          </w:tcPr>
          <w:p>
            <w:r>
              <w:t>Core Banking</w:t>
            </w:r>
          </w:p>
        </w:tc>
      </w:tr>
      <w:tr>
        <w:tc>
          <w:tcPr>
            <w:tcW w:type="dxa" w:w="2880"/>
          </w:tcPr>
          <w:p>
            <w:r>
              <w:t>Security Logs</w:t>
            </w:r>
          </w:p>
        </w:tc>
        <w:tc>
          <w:tcPr>
            <w:tcW w:type="dxa" w:w="2880"/>
          </w:tcPr>
          <w:p>
            <w:r>
              <w:t>1 year</w:t>
            </w:r>
          </w:p>
        </w:tc>
        <w:tc>
          <w:tcPr>
            <w:tcW w:type="dxa" w:w="2880"/>
          </w:tcPr>
          <w:p>
            <w:r>
              <w:t>SIEM</w:t>
            </w:r>
          </w:p>
        </w:tc>
      </w:tr>
      <w:tr>
        <w:tc>
          <w:tcPr>
            <w:tcW w:type="dxa" w:w="2880"/>
          </w:tcPr>
          <w:p>
            <w:r>
              <w:t>HR Files</w:t>
            </w:r>
          </w:p>
        </w:tc>
        <w:tc>
          <w:tcPr>
            <w:tcW w:type="dxa" w:w="2880"/>
          </w:tcPr>
          <w:p>
            <w:r>
              <w:t>7 years</w:t>
            </w:r>
          </w:p>
        </w:tc>
        <w:tc>
          <w:tcPr>
            <w:tcW w:type="dxa" w:w="2880"/>
          </w:tcPr>
          <w:p>
            <w:r>
              <w:t>HRIS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