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d0fdecdb81392088a0f14e29ea68477d2f7f988"/>
    <w:p>
      <w:pPr>
        <w:pStyle w:val="Heading1"/>
      </w:pPr>
      <w:r>
        <w:t xml:space="preserve">SeekhoAI — Homepage Revamp: Dev Requirements + Copy</w:t>
      </w:r>
    </w:p>
    <w:p>
      <w:pPr>
        <w:pStyle w:val="FirstParagraph"/>
      </w:pPr>
      <w:r>
        <w:rPr>
          <w:bCs/>
          <w:b/>
        </w:rPr>
        <w:t xml:space="preserve">For:</w:t>
      </w:r>
      <w:r>
        <w:t xml:space="preserve"> </w:t>
      </w:r>
      <w:r>
        <w:t xml:space="preserve">Maaz (dev) + Alishba ·</w:t>
      </w:r>
      <w:r>
        <w:t xml:space="preserve"> </w:t>
      </w:r>
      <w:r>
        <w:rPr>
          <w:bCs/>
          <w:b/>
        </w:rPr>
        <w:t xml:space="preserve">Scope:</w:t>
      </w:r>
      <w:r>
        <w:t xml:space="preserve"> </w:t>
      </w:r>
      <w:r>
        <w:t xml:space="preserve">paid homepage revamp (the /free landing page is specced separately)</w:t>
      </w:r>
    </w:p>
    <w:p>
      <w:pPr>
        <w:pStyle w:val="BodyText"/>
      </w:pPr>
      <w:r>
        <w:t xml:space="preserve">This doc has two parts. Part A is the build requirements. Part B is the full ship-ready copy. In Part B, quoted blocks are exact text to use; italic notes are placement/build guidance.</w:t>
      </w:r>
    </w:p>
    <w:p>
      <w:pPr>
        <w:pStyle w:val="BlockText"/>
      </w:pPr>
      <w:r>
        <w:rPr>
          <w:bCs/>
          <w:b/>
        </w:rPr>
        <w:t xml:space="preserve">Stat consistency note:</w:t>
      </w:r>
      <w:r>
        <w:t xml:space="preserve"> </w:t>
      </w:r>
      <w:r>
        <w:t xml:space="preserve">Use one set of numbers everywhere —</w:t>
      </w:r>
      <w:r>
        <w:t xml:space="preserve"> </w:t>
      </w:r>
      <w:r>
        <w:rPr>
          <w:bCs/>
          <w:b/>
        </w:rPr>
        <w:t xml:space="preserve">38,000+ students · 13,000+ reviews · 4.5★ · 100+ countries</w:t>
      </w:r>
      <w:r>
        <w:t xml:space="preserve">. These are conservative figures already used on the site, so nothing is overstated. Swap in exact live Udemy numbers before publish, but keep them identical across hero, instructor, and final CTA.</w:t>
      </w:r>
    </w:p>
    <w:p>
      <w:r>
        <w:pict>
          <v:rect style="width:0;height:1.5pt" o:hralign="center" o:hrstd="t" o:hr="t"/>
        </w:pict>
      </w:r>
    </w:p>
    <w:bookmarkStart w:id="27" w:name="part-a-build-requirements"/>
    <w:p>
      <w:pPr>
        <w:pStyle w:val="Heading2"/>
      </w:pPr>
      <w:r>
        <w:t xml:space="preserve">PART A — Build Requirements</w:t>
      </w:r>
    </w:p>
    <w:bookmarkStart w:id="20" w:name="a1.-key-decisions-locked"/>
    <w:p>
      <w:pPr>
        <w:pStyle w:val="Heading3"/>
      </w:pPr>
      <w:r>
        <w:t xml:space="preserve">A1. Key Decisions (locked)</w:t>
      </w:r>
    </w:p>
    <w:p>
      <w:pPr>
        <w:numPr>
          <w:ilvl w:val="0"/>
          <w:numId w:val="1001"/>
        </w:numPr>
        <w:pStyle w:val="Compact"/>
      </w:pPr>
      <w:r>
        <w:rPr>
          <w:bCs/>
          <w:b/>
        </w:rPr>
        <w:t xml:space="preserve">Primary CTA =</w:t>
      </w:r>
      <w:r>
        <w:rPr>
          <w:bCs/>
          <w:b/>
        </w:rPr>
        <w:t xml:space="preserve"> </w:t>
      </w:r>
      <w:r>
        <w:rPr>
          <w:bCs/>
          <w:b/>
        </w:rPr>
        <w:t xml:space="preserve">“</w:t>
      </w:r>
      <w:r>
        <w:rPr>
          <w:bCs/>
          <w:b/>
        </w:rPr>
        <w:t xml:space="preserve">Enrol Now — 999 PKR</w:t>
      </w:r>
      <w:r>
        <w:rPr>
          <w:bCs/>
          <w:b/>
        </w:rPr>
        <w:t xml:space="preserve">”</w:t>
      </w:r>
      <w:r>
        <w:t xml:space="preserve"> </w:t>
      </w:r>
      <w:r>
        <w:t xml:space="preserve">(paid enrolment is the primary action). Free course is the secondary CTA.</w:t>
      </w:r>
    </w:p>
    <w:p>
      <w:pPr>
        <w:numPr>
          <w:ilvl w:val="0"/>
          <w:numId w:val="1001"/>
        </w:numPr>
        <w:pStyle w:val="Compact"/>
      </w:pPr>
      <w:r>
        <w:rPr>
          <w:bCs/>
          <w:b/>
        </w:rPr>
        <w:t xml:space="preserve">Language:</w:t>
      </w:r>
      <w:r>
        <w:t xml:space="preserve"> </w:t>
      </w:r>
      <w:r>
        <w:t xml:space="preserve">course is in English with subtitles. Do NOT claim it is</w:t>
      </w:r>
      <w:r>
        <w:t xml:space="preserve"> </w:t>
      </w:r>
      <w:r>
        <w:t xml:space="preserve">“</w:t>
      </w:r>
      <w:r>
        <w:t xml:space="preserve">in Urdu.</w:t>
      </w:r>
      <w:r>
        <w:t xml:space="preserve">”</w:t>
      </w:r>
      <w:r>
        <w:t xml:space="preserve"> </w:t>
      </w:r>
      <w:r>
        <w:t xml:space="preserve">No bilingual page required.</w:t>
      </w:r>
    </w:p>
    <w:p>
      <w:pPr>
        <w:numPr>
          <w:ilvl w:val="0"/>
          <w:numId w:val="1001"/>
        </w:numPr>
        <w:pStyle w:val="Compact"/>
      </w:pPr>
      <w:r>
        <w:rPr>
          <w:bCs/>
          <w:b/>
        </w:rPr>
        <w:t xml:space="preserve">Keep the YouTube hero video.</w:t>
      </w:r>
    </w:p>
    <w:p>
      <w:pPr>
        <w:numPr>
          <w:ilvl w:val="0"/>
          <w:numId w:val="1001"/>
        </w:numPr>
        <w:pStyle w:val="Compact"/>
      </w:pPr>
      <w:r>
        <w:rPr>
          <w:bCs/>
          <w:b/>
        </w:rPr>
        <w:t xml:space="preserve">Single price sitewide:</w:t>
      </w:r>
      <w:r>
        <w:t xml:space="preserve"> </w:t>
      </w:r>
      <w:r>
        <w:t xml:space="preserve">4999 → 999 PKR. Remove all USD pricing and the separate MASTER80 code path.</w:t>
      </w:r>
    </w:p>
    <w:bookmarkEnd w:id="20"/>
    <w:bookmarkStart w:id="21" w:name="a2.-functional-requirements"/>
    <w:p>
      <w:pPr>
        <w:pStyle w:val="Heading3"/>
      </w:pPr>
      <w:r>
        <w:t xml:space="preserve">A2. Functional Requirements</w:t>
      </w:r>
    </w:p>
    <w:tbl>
      <w:tblPr>
        <w:tblStyle w:val="Table"/>
        <w:tblW w:type="pct" w:w="5000"/>
        <w:tblLook w:firstRow="1" w:lastRow="0" w:firstColumn="0" w:lastColumn="0" w:noHBand="0" w:noVBand="0" w:val="0020"/>
        <w:jc w:val="start"/>
      </w:tblPr>
      <w:tblGrid>
        <w:gridCol w:w="1092"/>
        <w:gridCol w:w="3550"/>
        <w:gridCol w:w="3277"/>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Acceptance</w:t>
            </w:r>
          </w:p>
        </w:tc>
      </w:tr>
      <w:tr>
        <w:tc>
          <w:tcPr/>
          <w:p>
            <w:pPr>
              <w:pStyle w:val="Compact"/>
              <w:jc w:val="left"/>
            </w:pPr>
            <w:r>
              <w:t xml:space="preserve">F1</w:t>
            </w:r>
          </w:p>
        </w:tc>
        <w:tc>
          <w:tcPr/>
          <w:p>
            <w:pPr>
              <w:pStyle w:val="Compact"/>
              <w:jc w:val="left"/>
            </w:pPr>
            <w:r>
              <w:t xml:space="preserve">Rebuild hero: headline + subhead + social-proof bar + ONE primary CTA + YT video, above the fold</w:t>
            </w:r>
          </w:p>
        </w:tc>
        <w:tc>
          <w:tcPr/>
          <w:p>
            <w:pPr>
              <w:pStyle w:val="Compact"/>
              <w:jc w:val="left"/>
            </w:pPr>
            <w:r>
              <w:t xml:space="preserve">Social proof visible without scrolling on mobile</w:t>
            </w:r>
          </w:p>
        </w:tc>
      </w:tr>
      <w:tr>
        <w:tc>
          <w:tcPr/>
          <w:p>
            <w:pPr>
              <w:pStyle w:val="Compact"/>
              <w:jc w:val="left"/>
            </w:pPr>
            <w:r>
              <w:t xml:space="preserve">F2</w:t>
            </w:r>
          </w:p>
        </w:tc>
        <w:tc>
          <w:tcPr/>
          <w:p>
            <w:pPr>
              <w:pStyle w:val="Compact"/>
              <w:jc w:val="left"/>
            </w:pPr>
            <w:r>
              <w:t xml:space="preserve">Add trust strip (Udemy + employer credibility) below hero</w:t>
            </w:r>
          </w:p>
        </w:tc>
        <w:tc>
          <w:tcPr/>
          <w:p>
            <w:pPr>
              <w:pStyle w:val="Compact"/>
              <w:jc w:val="left"/>
            </w:pPr>
            <w:r>
              <w:t xml:space="preserve">Full-width, at/just below fold</w:t>
            </w:r>
          </w:p>
        </w:tc>
      </w:tr>
      <w:tr>
        <w:tc>
          <w:tcPr/>
          <w:p>
            <w:pPr>
              <w:pStyle w:val="Compact"/>
              <w:jc w:val="left"/>
            </w:pPr>
            <w:r>
              <w:t xml:space="preserve">F3</w:t>
            </w:r>
          </w:p>
        </w:tc>
        <w:tc>
          <w:tcPr/>
          <w:p>
            <w:pPr>
              <w:pStyle w:val="Compact"/>
              <w:jc w:val="left"/>
            </w:pPr>
            <w:r>
              <w:t xml:space="preserve">Move</w:t>
            </w:r>
            <w:r>
              <w:t xml:space="preserve"> </w:t>
            </w:r>
            <w:r>
              <w:t xml:space="preserve">“</w:t>
            </w:r>
            <w:r>
              <w:t xml:space="preserve">Who this is for</w:t>
            </w:r>
            <w:r>
              <w:t xml:space="preserve">”</w:t>
            </w:r>
            <w:r>
              <w:t xml:space="preserve"> </w:t>
            </w:r>
            <w:r>
              <w:t xml:space="preserve">high (after trust strip); 3 cards</w:t>
            </w:r>
          </w:p>
        </w:tc>
        <w:tc>
          <w:tcPr/>
          <w:p>
            <w:pPr>
              <w:pStyle w:val="Compact"/>
              <w:jc w:val="left"/>
            </w:pPr>
            <w:r>
              <w:t xml:space="preserve">Beginner / Professional / Founder present</w:t>
            </w:r>
          </w:p>
        </w:tc>
      </w:tr>
      <w:tr>
        <w:tc>
          <w:tcPr/>
          <w:p>
            <w:pPr>
              <w:pStyle w:val="Compact"/>
              <w:jc w:val="left"/>
            </w:pPr>
            <w:r>
              <w:t xml:space="preserve">F4</w:t>
            </w:r>
          </w:p>
        </w:tc>
        <w:tc>
          <w:tcPr/>
          <w:p>
            <w:pPr>
              <w:pStyle w:val="Compact"/>
              <w:jc w:val="left"/>
            </w:pPr>
            <w:r>
              <w:t xml:space="preserve">Merge old 10 pillars + 8 modules into ONE outcome-led section, 6 accordions</w:t>
            </w:r>
          </w:p>
        </w:tc>
        <w:tc>
          <w:tcPr/>
          <w:p>
            <w:pPr>
              <w:pStyle w:val="Compact"/>
              <w:jc w:val="left"/>
            </w:pPr>
            <w:r>
              <w:t xml:space="preserve">No duplicate content; detail in expandables</w:t>
            </w:r>
          </w:p>
        </w:tc>
      </w:tr>
      <w:tr>
        <w:tc>
          <w:tcPr/>
          <w:p>
            <w:pPr>
              <w:pStyle w:val="Compact"/>
              <w:jc w:val="left"/>
            </w:pPr>
            <w:r>
              <w:t xml:space="preserve">F5</w:t>
            </w:r>
          </w:p>
        </w:tc>
        <w:tc>
          <w:tcPr/>
          <w:p>
            <w:pPr>
              <w:pStyle w:val="Compact"/>
              <w:jc w:val="left"/>
            </w:pPr>
            <w:r>
              <w:t xml:space="preserve">Instructor section with REAL photo (remove placeholder)</w:t>
            </w:r>
          </w:p>
        </w:tc>
        <w:tc>
          <w:tcPr/>
          <w:p>
            <w:pPr>
              <w:pStyle w:val="Compact"/>
              <w:jc w:val="left"/>
            </w:pPr>
            <w:r>
              <w:t xml:space="preserve">Real image live</w:t>
            </w:r>
          </w:p>
        </w:tc>
      </w:tr>
      <w:tr>
        <w:tc>
          <w:tcPr/>
          <w:p>
            <w:pPr>
              <w:pStyle w:val="Compact"/>
              <w:jc w:val="left"/>
            </w:pPr>
            <w:r>
              <w:t xml:space="preserve">F6</w:t>
            </w:r>
          </w:p>
        </w:tc>
        <w:tc>
          <w:tcPr/>
          <w:p>
            <w:pPr>
              <w:pStyle w:val="Compact"/>
              <w:jc w:val="left"/>
            </w:pPr>
            <w:r>
              <w:t xml:space="preserve">Replace ALL fake testimonials with real Udemy screenshots + 2–3 local students</w:t>
            </w:r>
          </w:p>
        </w:tc>
        <w:tc>
          <w:tcPr/>
          <w:p>
            <w:pPr>
              <w:pStyle w:val="Compact"/>
              <w:jc w:val="left"/>
            </w:pPr>
            <w:r>
              <w:t xml:space="preserve">Zero stock/fake names</w:t>
            </w:r>
          </w:p>
        </w:tc>
      </w:tr>
      <w:tr>
        <w:tc>
          <w:tcPr/>
          <w:p>
            <w:pPr>
              <w:pStyle w:val="Compact"/>
              <w:jc w:val="left"/>
            </w:pPr>
            <w:r>
              <w:t xml:space="preserve">F7</w:t>
            </w:r>
          </w:p>
        </w:tc>
        <w:tc>
          <w:tcPr/>
          <w:p>
            <w:pPr>
              <w:pStyle w:val="Compact"/>
              <w:jc w:val="left"/>
            </w:pPr>
            <w:r>
              <w:t xml:space="preserve">Free-course band as clearly-marked secondary CTA</w:t>
            </w:r>
          </w:p>
        </w:tc>
        <w:tc>
          <w:tcPr/>
          <w:p>
            <w:pPr>
              <w:pStyle w:val="Compact"/>
              <w:jc w:val="left"/>
            </w:pPr>
            <w:r>
              <w:t xml:space="preserve">Distinct band, links to /free flow</w:t>
            </w:r>
          </w:p>
        </w:tc>
      </w:tr>
      <w:tr>
        <w:tc>
          <w:tcPr/>
          <w:p>
            <w:pPr>
              <w:pStyle w:val="Compact"/>
              <w:jc w:val="left"/>
            </w:pPr>
            <w:r>
              <w:t xml:space="preserve">F8</w:t>
            </w:r>
          </w:p>
        </w:tc>
        <w:tc>
          <w:tcPr/>
          <w:p>
            <w:pPr>
              <w:pStyle w:val="Compact"/>
              <w:jc w:val="left"/>
            </w:pPr>
            <w:r>
              <w:t xml:space="preserve">Single pricing block: 4999 → 999 PKR, JazzCash/Easypaisa, 30-day guarantee</w:t>
            </w:r>
          </w:p>
        </w:tc>
        <w:tc>
          <w:tcPr/>
          <w:p>
            <w:pPr>
              <w:pStyle w:val="Compact"/>
              <w:jc w:val="left"/>
            </w:pPr>
            <w:r>
              <w:t xml:space="preserve">No USD, no MASTER80 anywhere</w:t>
            </w:r>
          </w:p>
        </w:tc>
      </w:tr>
      <w:tr>
        <w:tc>
          <w:tcPr/>
          <w:p>
            <w:pPr>
              <w:pStyle w:val="Compact"/>
              <w:jc w:val="left"/>
            </w:pPr>
            <w:r>
              <w:t xml:space="preserve">F9</w:t>
            </w:r>
          </w:p>
        </w:tc>
        <w:tc>
          <w:tcPr/>
          <w:p>
            <w:pPr>
              <w:pStyle w:val="Compact"/>
              <w:jc w:val="left"/>
            </w:pPr>
            <w:r>
              <w:t xml:space="preserve">Keep FAQ near bottom; update PKR + certificate + language answers</w:t>
            </w:r>
          </w:p>
        </w:tc>
        <w:tc>
          <w:tcPr/>
          <w:p>
            <w:pPr>
              <w:pStyle w:val="Compact"/>
              <w:jc w:val="left"/>
            </w:pPr>
            <w:r>
              <w:t xml:space="preserve">9 FAQs per copy below</w:t>
            </w:r>
          </w:p>
        </w:tc>
      </w:tr>
      <w:tr>
        <w:tc>
          <w:tcPr/>
          <w:p>
            <w:pPr>
              <w:pStyle w:val="Compact"/>
              <w:jc w:val="left"/>
            </w:pPr>
            <w:r>
              <w:t xml:space="preserve">F10</w:t>
            </w:r>
          </w:p>
        </w:tc>
        <w:tc>
          <w:tcPr/>
          <w:p>
            <w:pPr>
              <w:pStyle w:val="Compact"/>
              <w:jc w:val="left"/>
            </w:pPr>
            <w:r>
              <w:t xml:space="preserve">Final CTA: repeat primary CTA + social proof number</w:t>
            </w:r>
          </w:p>
        </w:tc>
        <w:tc>
          <w:tcPr/>
          <w:p>
            <w:pPr>
              <w:pStyle w:val="Compact"/>
              <w:jc w:val="left"/>
            </w:pPr>
            <w:r>
              <w:t xml:space="preserve">Single clean close</w:t>
            </w:r>
          </w:p>
        </w:tc>
      </w:tr>
      <w:tr>
        <w:tc>
          <w:tcPr/>
          <w:p>
            <w:pPr>
              <w:pStyle w:val="Compact"/>
              <w:jc w:val="left"/>
            </w:pPr>
            <w:r>
              <w:t xml:space="preserve">F11</w:t>
            </w:r>
          </w:p>
        </w:tc>
        <w:tc>
          <w:tcPr/>
          <w:p>
            <w:pPr>
              <w:pStyle w:val="Compact"/>
              <w:jc w:val="left"/>
            </w:pPr>
            <w:r>
              <w:t xml:space="preserve">Remove top nav (or reduce to logo + one CTA button)</w:t>
            </w:r>
          </w:p>
        </w:tc>
        <w:tc>
          <w:tcPr/>
          <w:p>
            <w:pPr>
              <w:pStyle w:val="Compact"/>
              <w:jc w:val="left"/>
            </w:pPr>
            <w:r>
              <w:t xml:space="preserve">No menu of section links</w:t>
            </w:r>
          </w:p>
        </w:tc>
      </w:tr>
      <w:tr>
        <w:tc>
          <w:tcPr/>
          <w:p>
            <w:pPr>
              <w:pStyle w:val="Compact"/>
              <w:jc w:val="left"/>
            </w:pPr>
            <w:r>
              <w:t xml:space="preserve">F12</w:t>
            </w:r>
          </w:p>
        </w:tc>
        <w:tc>
          <w:tcPr/>
          <w:p>
            <w:pPr>
              <w:pStyle w:val="Compact"/>
              <w:jc w:val="left"/>
            </w:pPr>
            <w:r>
              <w:t xml:space="preserve">One consistent primary CTA repeated 3–4× (same words, colour)</w:t>
            </w:r>
          </w:p>
        </w:tc>
        <w:tc>
          <w:tcPr/>
          <w:p>
            <w:pPr>
              <w:pStyle w:val="Compact"/>
              <w:jc w:val="left"/>
            </w:pPr>
            <w:r>
              <w:t xml:space="preserve">“</w:t>
            </w:r>
            <w:r>
              <w:t xml:space="preserve">Enrol Now — 999 PKR</w:t>
            </w:r>
            <w:r>
              <w:t xml:space="preserve">”</w:t>
            </w:r>
            <w:r>
              <w:t xml:space="preserve"> </w:t>
            </w:r>
            <w:r>
              <w:t xml:space="preserve">throughout</w:t>
            </w:r>
          </w:p>
        </w:tc>
      </w:tr>
      <w:tr>
        <w:tc>
          <w:tcPr/>
          <w:p>
            <w:pPr>
              <w:pStyle w:val="Compact"/>
              <w:jc w:val="left"/>
            </w:pPr>
            <w:r>
              <w:t xml:space="preserve">F13</w:t>
            </w:r>
          </w:p>
        </w:tc>
        <w:tc>
          <w:tcPr/>
          <w:p>
            <w:pPr>
              <w:pStyle w:val="Compact"/>
              <w:jc w:val="left"/>
            </w:pPr>
            <w:r>
              <w:t xml:space="preserve">Floating WhatsApp click-to-chat button (sticky, all viewports)</w:t>
            </w:r>
          </w:p>
        </w:tc>
        <w:tc>
          <w:tcPr/>
          <w:p>
            <w:pPr>
              <w:pStyle w:val="Compact"/>
              <w:jc w:val="left"/>
            </w:pPr>
            <w:r>
              <w:t xml:space="preserve">Opens WhatsApp to business number with pre-filled message (see A4 / T6)</w:t>
            </w:r>
          </w:p>
        </w:tc>
      </w:tr>
    </w:tbl>
    <w:bookmarkEnd w:id="21"/>
    <w:bookmarkStart w:id="22" w:name="a3.-compliance-blockers"/>
    <w:p>
      <w:pPr>
        <w:pStyle w:val="Heading3"/>
      </w:pPr>
      <w:r>
        <w:t xml:space="preserve">A3. Compliance / Blockers</w:t>
      </w:r>
    </w:p>
    <w:tbl>
      <w:tblPr>
        <w:tblStyle w:val="Table"/>
        <w:tblW w:type="pct" w:w="5000"/>
        <w:tblLook w:firstRow="1" w:lastRow="0" w:firstColumn="0" w:lastColumn="0" w:noHBand="0" w:noVBand="0" w:val="0020"/>
        <w:jc w:val="start"/>
      </w:tblPr>
      <w:tblGrid>
        <w:gridCol w:w="1440"/>
        <w:gridCol w:w="4680"/>
        <w:gridCol w:w="180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Why</w:t>
            </w:r>
          </w:p>
        </w:tc>
      </w:tr>
      <w:tr>
        <w:tc>
          <w:tcPr/>
          <w:p>
            <w:pPr>
              <w:pStyle w:val="Compact"/>
              <w:jc w:val="left"/>
            </w:pPr>
            <w:r>
              <w:t xml:space="preserve">C1</w:t>
            </w:r>
          </w:p>
        </w:tc>
        <w:tc>
          <w:tcPr/>
          <w:p>
            <w:pPr>
              <w:pStyle w:val="Compact"/>
              <w:jc w:val="left"/>
            </w:pPr>
            <w:r>
              <w:t xml:space="preserve">Build real Privacy, Terms, Refund pages (currently link to</w:t>
            </w:r>
            <w:r>
              <w:t xml:space="preserve"> </w:t>
            </w:r>
            <w:r>
              <w:t xml:space="preserve">“</w:t>
            </w:r>
            <w:r>
              <w:t xml:space="preserve">#</w:t>
            </w:r>
            <w:r>
              <w:t xml:space="preserve">”</w:t>
            </w:r>
            <w:r>
              <w:t xml:space="preserve">)</w:t>
            </w:r>
          </w:p>
        </w:tc>
        <w:tc>
          <w:tcPr/>
          <w:p>
            <w:pPr>
              <w:pStyle w:val="Compact"/>
              <w:jc w:val="left"/>
            </w:pPr>
            <w:r>
              <w:rPr>
                <w:bCs/>
                <w:b/>
              </w:rPr>
              <w:t xml:space="preserve">Meta rejects ads with no privacy policy — blocks the campaign</w:t>
            </w:r>
          </w:p>
        </w:tc>
      </w:tr>
      <w:tr>
        <w:tc>
          <w:tcPr/>
          <w:p>
            <w:pPr>
              <w:pStyle w:val="Compact"/>
              <w:jc w:val="left"/>
            </w:pPr>
            <w:r>
              <w:t xml:space="preserve">C2</w:t>
            </w:r>
          </w:p>
        </w:tc>
        <w:tc>
          <w:tcPr/>
          <w:p>
            <w:pPr>
              <w:pStyle w:val="Compact"/>
              <w:jc w:val="left"/>
            </w:pPr>
            <w:r>
              <w:t xml:space="preserve">Refund page must state the 30-day money-back guarantee</w:t>
            </w:r>
          </w:p>
        </w:tc>
        <w:tc>
          <w:tcPr/>
          <w:p>
            <w:pPr>
              <w:pStyle w:val="Compact"/>
              <w:jc w:val="left"/>
            </w:pPr>
            <w:r>
              <w:t xml:space="preserve">Consistency with on-page claim</w:t>
            </w:r>
          </w:p>
        </w:tc>
      </w:tr>
    </w:tbl>
    <w:bookmarkEnd w:id="22"/>
    <w:bookmarkStart w:id="23" w:name="a4.-tracking-integrations"/>
    <w:p>
      <w:pPr>
        <w:pStyle w:val="Heading3"/>
      </w:pPr>
      <w:r>
        <w:t xml:space="preserve">A4. Tracking &amp; Integrations</w:t>
      </w:r>
    </w:p>
    <w:tbl>
      <w:tblPr>
        <w:tblStyle w:val="Table"/>
        <w:tblW w:type="pct" w:w="5000"/>
        <w:tblLook w:firstRow="1" w:lastRow="0" w:firstColumn="0" w:lastColumn="0" w:noHBand="0" w:noVBand="0" w:val="0020"/>
        <w:jc w:val="start"/>
      </w:tblPr>
      <w:tblGrid>
        <w:gridCol w:w="1092"/>
        <w:gridCol w:w="3550"/>
        <w:gridCol w:w="3277"/>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Acceptance</w:t>
            </w:r>
          </w:p>
        </w:tc>
      </w:tr>
      <w:tr>
        <w:tc>
          <w:tcPr/>
          <w:p>
            <w:pPr>
              <w:pStyle w:val="Compact"/>
              <w:jc w:val="left"/>
            </w:pPr>
            <w:r>
              <w:t xml:space="preserve">T1</w:t>
            </w:r>
          </w:p>
        </w:tc>
        <w:tc>
          <w:tcPr/>
          <w:p>
            <w:pPr>
              <w:pStyle w:val="Compact"/>
              <w:jc w:val="left"/>
            </w:pPr>
            <w:r>
              <w:t xml:space="preserve">Install Meta Pixel sitewide</w:t>
            </w:r>
          </w:p>
        </w:tc>
        <w:tc>
          <w:tcPr/>
          <w:p>
            <w:pPr>
              <w:pStyle w:val="Compact"/>
              <w:jc w:val="left"/>
            </w:pPr>
            <w:r>
              <w:t xml:space="preserve">Fires on load (verified in Events Manager)</w:t>
            </w:r>
          </w:p>
        </w:tc>
      </w:tr>
      <w:tr>
        <w:tc>
          <w:tcPr/>
          <w:p>
            <w:pPr>
              <w:pStyle w:val="Compact"/>
              <w:jc w:val="left"/>
            </w:pPr>
            <w:r>
              <w:t xml:space="preserve">T2</w:t>
            </w:r>
          </w:p>
        </w:tc>
        <w:tc>
          <w:tcPr/>
          <w:p>
            <w:pPr>
              <w:pStyle w:val="Compact"/>
              <w:jc w:val="left"/>
            </w:pPr>
            <w:r>
              <w:t xml:space="preserve">Fire Meta</w:t>
            </w:r>
            <w:r>
              <w:t xml:space="preserve"> </w:t>
            </w:r>
            <w:r>
              <w:t xml:space="preserve">“</w:t>
            </w:r>
            <w:r>
              <w:t xml:space="preserve">Lead</w:t>
            </w:r>
            <w:r>
              <w:t xml:space="preserve">”</w:t>
            </w:r>
            <w:r>
              <w:t xml:space="preserve"> </w:t>
            </w:r>
            <w:r>
              <w:t xml:space="preserve">event on free-course signup</w:t>
            </w:r>
          </w:p>
        </w:tc>
        <w:tc>
          <w:tcPr/>
          <w:p>
            <w:pPr>
              <w:pStyle w:val="Compact"/>
              <w:jc w:val="left"/>
            </w:pPr>
            <w:r>
              <w:t xml:space="preserve">Event per submit</w:t>
            </w:r>
          </w:p>
        </w:tc>
      </w:tr>
      <w:tr>
        <w:tc>
          <w:tcPr/>
          <w:p>
            <w:pPr>
              <w:pStyle w:val="Compact"/>
              <w:jc w:val="left"/>
            </w:pPr>
            <w:r>
              <w:t xml:space="preserve">T3</w:t>
            </w:r>
          </w:p>
        </w:tc>
        <w:tc>
          <w:tcPr/>
          <w:p>
            <w:pPr>
              <w:pStyle w:val="Compact"/>
              <w:jc w:val="left"/>
            </w:pPr>
            <w:r>
              <w:t xml:space="preserve">Fire Meta</w:t>
            </w:r>
            <w:r>
              <w:t xml:space="preserve"> </w:t>
            </w:r>
            <w:r>
              <w:t xml:space="preserve">“</w:t>
            </w:r>
            <w:r>
              <w:t xml:space="preserve">Purchase</w:t>
            </w:r>
            <w:r>
              <w:t xml:space="preserve">”</w:t>
            </w:r>
            <w:r>
              <w:t xml:space="preserve"> </w:t>
            </w:r>
            <w:r>
              <w:t xml:space="preserve">event on successful payment</w:t>
            </w:r>
          </w:p>
        </w:tc>
        <w:tc>
          <w:tcPr/>
          <w:p>
            <w:pPr>
              <w:pStyle w:val="Compact"/>
              <w:jc w:val="left"/>
            </w:pPr>
            <w:r>
              <w:t xml:space="preserve">Event per paid enrol</w:t>
            </w:r>
          </w:p>
        </w:tc>
      </w:tr>
      <w:tr>
        <w:tc>
          <w:tcPr/>
          <w:p>
            <w:pPr>
              <w:pStyle w:val="Compact"/>
              <w:jc w:val="left"/>
            </w:pPr>
            <w:r>
              <w:t xml:space="preserve">T4</w:t>
            </w:r>
          </w:p>
        </w:tc>
        <w:tc>
          <w:tcPr/>
          <w:p>
            <w:pPr>
              <w:pStyle w:val="Compact"/>
              <w:jc w:val="left"/>
            </w:pPr>
            <w:r>
              <w:t xml:space="preserve">Add Google Analytics (sa542 account)</w:t>
            </w:r>
          </w:p>
        </w:tc>
        <w:tc>
          <w:tcPr/>
          <w:p>
            <w:pPr>
              <w:pStyle w:val="Compact"/>
              <w:jc w:val="left"/>
            </w:pPr>
            <w:r>
              <w:t xml:space="preserve">Pageviews + events tracked</w:t>
            </w:r>
          </w:p>
        </w:tc>
      </w:tr>
      <w:tr>
        <w:tc>
          <w:tcPr/>
          <w:p>
            <w:pPr>
              <w:pStyle w:val="Compact"/>
              <w:jc w:val="left"/>
            </w:pPr>
            <w:r>
              <w:t xml:space="preserve">T5</w:t>
            </w:r>
          </w:p>
        </w:tc>
        <w:tc>
          <w:tcPr/>
          <w:p>
            <w:pPr>
              <w:pStyle w:val="Compact"/>
              <w:jc w:val="left"/>
            </w:pPr>
            <w:r>
              <w:t xml:space="preserve">Wire working checkout to JazzCash + Easypaisa</w:t>
            </w:r>
          </w:p>
        </w:tc>
        <w:tc>
          <w:tcPr/>
          <w:p>
            <w:pPr>
              <w:pStyle w:val="Compact"/>
              <w:jc w:val="left"/>
            </w:pPr>
            <w:r>
              <w:t xml:space="preserve">Depends on Easypaisa details from Maaz; test txn succeeds</w:t>
            </w:r>
          </w:p>
        </w:tc>
      </w:tr>
      <w:tr>
        <w:tc>
          <w:tcPr/>
          <w:p>
            <w:pPr>
              <w:pStyle w:val="Compact"/>
              <w:jc w:val="left"/>
            </w:pPr>
            <w:r>
              <w:t xml:space="preserve">T6</w:t>
            </w:r>
          </w:p>
        </w:tc>
        <w:tc>
          <w:tcPr/>
          <w:p>
            <w:pPr>
              <w:pStyle w:val="Compact"/>
              <w:jc w:val="left"/>
            </w:pPr>
            <w:r>
              <w:t xml:space="preserve">WhatsApp button links to business number with a pre-filled message</w:t>
            </w:r>
          </w:p>
        </w:tc>
        <w:tc>
          <w:tcPr/>
          <w:p>
            <w:pPr>
              <w:pStyle w:val="Compact"/>
              <w:jc w:val="left"/>
            </w:pPr>
            <w:r>
              <w:t xml:space="preserve">Tapping opens WhatsApp with text pre-populated (see below); depends on number from Maaz</w:t>
            </w:r>
          </w:p>
        </w:tc>
      </w:tr>
    </w:tbl>
    <w:p>
      <w:pPr>
        <w:pStyle w:val="BodyText"/>
      </w:pPr>
      <w:r>
        <w:rPr>
          <w:bCs/>
          <w:b/>
        </w:rPr>
        <w:t xml:space="preserve">T6 pre-filled message (use this text):</w:t>
      </w:r>
      <w:r>
        <w:t xml:space="preserve"> </w:t>
      </w:r>
      <w:r>
        <w:t xml:space="preserve">&gt; Hi! I’m interested in the SeekhoAI AI course. Can you tell me more?</w:t>
      </w:r>
    </w:p>
    <w:p>
      <w:pPr>
        <w:pStyle w:val="BodyText"/>
      </w:pPr>
      <w:r>
        <w:t xml:space="preserve">Implement as a</w:t>
      </w:r>
      <w:r>
        <w:t xml:space="preserve"> </w:t>
      </w:r>
      <w:r>
        <w:rPr>
          <w:rStyle w:val="VerbatimChar"/>
        </w:rPr>
        <w:t xml:space="preserve">wa.me</w:t>
      </w:r>
      <w:r>
        <w:t xml:space="preserve"> </w:t>
      </w:r>
      <w:r>
        <w:t xml:space="preserve">link with URL-encoded text, e.g.</w:t>
      </w:r>
      <w:r>
        <w:t xml:space="preserve"> </w:t>
      </w:r>
      <w:r>
        <w:rPr>
          <w:rStyle w:val="VerbatimChar"/>
        </w:rPr>
        <w:t xml:space="preserve">https://wa.me/&lt;BUSINESS_NUMBER&gt;?text=Hi!%20I'm%20interested%20in%20the%20SeekhoAI%20AI%20course.%20Can%20you%20tell%20me%20more%3F</w:t>
      </w:r>
    </w:p>
    <w:bookmarkEnd w:id="23"/>
    <w:bookmarkStart w:id="24" w:name="Xc19e8b88a2374be3b50c4268ff10d698ca7a677"/>
    <w:p>
      <w:pPr>
        <w:pStyle w:val="Heading3"/>
      </w:pPr>
      <w:r>
        <w:t xml:space="preserve">A5. Performance Metrics (targets, mobile 4G)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Largest Contentful Paint (LCP)</w:t>
            </w:r>
          </w:p>
        </w:tc>
        <w:tc>
          <w:tcPr/>
          <w:p>
            <w:pPr>
              <w:pStyle w:val="Compact"/>
              <w:jc w:val="left"/>
            </w:pPr>
            <w:r>
              <w:t xml:space="preserve">≤ 2.5s</w:t>
            </w:r>
          </w:p>
        </w:tc>
      </w:tr>
      <w:tr>
        <w:tc>
          <w:tcPr/>
          <w:p>
            <w:pPr>
              <w:pStyle w:val="Compact"/>
              <w:jc w:val="left"/>
            </w:pPr>
            <w:r>
              <w:t xml:space="preserve">Full page load</w:t>
            </w:r>
          </w:p>
        </w:tc>
        <w:tc>
          <w:tcPr/>
          <w:p>
            <w:pPr>
              <w:pStyle w:val="Compact"/>
              <w:jc w:val="left"/>
            </w:pPr>
            <w:r>
              <w:t xml:space="preserve">≤ 3s</w:t>
            </w:r>
          </w:p>
        </w:tc>
      </w:tr>
      <w:tr>
        <w:tc>
          <w:tcPr/>
          <w:p>
            <w:pPr>
              <w:pStyle w:val="Compact"/>
              <w:jc w:val="left"/>
            </w:pPr>
            <w:r>
              <w:t xml:space="preserve">Cumulative Layout Shift (CLS)</w:t>
            </w:r>
          </w:p>
        </w:tc>
        <w:tc>
          <w:tcPr/>
          <w:p>
            <w:pPr>
              <w:pStyle w:val="Compact"/>
              <w:jc w:val="left"/>
            </w:pPr>
            <w:r>
              <w:t xml:space="preserve">&lt; 0.1</w:t>
            </w:r>
          </w:p>
        </w:tc>
      </w:tr>
      <w:tr>
        <w:tc>
          <w:tcPr/>
          <w:p>
            <w:pPr>
              <w:pStyle w:val="Compact"/>
              <w:jc w:val="left"/>
            </w:pPr>
            <w:r>
              <w:t xml:space="preserve">Interaction to Next Paint (INP)</w:t>
            </w:r>
          </w:p>
        </w:tc>
        <w:tc>
          <w:tcPr/>
          <w:p>
            <w:pPr>
              <w:pStyle w:val="Compact"/>
              <w:jc w:val="left"/>
            </w:pPr>
            <w:r>
              <w:t xml:space="preserve">&lt; 200ms</w:t>
            </w:r>
          </w:p>
        </w:tc>
      </w:tr>
      <w:tr>
        <w:tc>
          <w:tcPr/>
          <w:p>
            <w:pPr>
              <w:pStyle w:val="Compact"/>
              <w:jc w:val="left"/>
            </w:pPr>
            <w:r>
              <w:t xml:space="preserve">Google PageSpeed (mobile)</w:t>
            </w:r>
          </w:p>
        </w:tc>
        <w:tc>
          <w:tcPr/>
          <w:p>
            <w:pPr>
              <w:pStyle w:val="Compact"/>
              <w:jc w:val="left"/>
            </w:pPr>
            <w:r>
              <w:t xml:space="preserve">≥ 85</w:t>
            </w:r>
          </w:p>
        </w:tc>
      </w:tr>
      <w:tr>
        <w:tc>
          <w:tcPr/>
          <w:p>
            <w:pPr>
              <w:pStyle w:val="Compact"/>
              <w:jc w:val="left"/>
            </w:pPr>
            <w:r>
              <w:t xml:space="preserve">YouTube video</w:t>
            </w:r>
          </w:p>
        </w:tc>
        <w:tc>
          <w:tcPr/>
          <w:p>
            <w:pPr>
              <w:pStyle w:val="Compact"/>
              <w:jc w:val="left"/>
            </w:pPr>
            <w:r>
              <w:t xml:space="preserve">Lazy-load / facade so it doesn’t block LCP</w:t>
            </w:r>
          </w:p>
        </w:tc>
      </w:tr>
      <w:tr>
        <w:tc>
          <w:tcPr/>
          <w:p>
            <w:pPr>
              <w:pStyle w:val="Compact"/>
              <w:jc w:val="left"/>
            </w:pPr>
            <w:r>
              <w:t xml:space="preserve">Images</w:t>
            </w:r>
          </w:p>
        </w:tc>
        <w:tc>
          <w:tcPr/>
          <w:p>
            <w:pPr>
              <w:pStyle w:val="Compact"/>
              <w:jc w:val="left"/>
            </w:pPr>
            <w:r>
              <w:t xml:space="preserve">Compressed, WebP, lazy-loaded below fold</w:t>
            </w:r>
          </w:p>
        </w:tc>
      </w:tr>
    </w:tbl>
    <w:p>
      <w:pPr>
        <w:pStyle w:val="BodyText"/>
      </w:pPr>
      <w:r>
        <w:rPr>
          <w:iCs/>
          <w:i/>
        </w:rPr>
        <w:t xml:space="preserve">PK traffic is 90%+ mobile, often on 4G. Test on a real mid-range Android over mobile data, not just desktop.</w:t>
      </w:r>
    </w:p>
    <w:bookmarkEnd w:id="24"/>
    <w:bookmarkStart w:id="25" w:name="a6.-success-definition"/>
    <w:p>
      <w:pPr>
        <w:pStyle w:val="Heading3"/>
      </w:pPr>
      <w:r>
        <w:t xml:space="preserve">A6. Success Definition</w:t>
      </w:r>
    </w:p>
    <w:p>
      <w:pPr>
        <w:numPr>
          <w:ilvl w:val="0"/>
          <w:numId w:val="1002"/>
        </w:numPr>
        <w:pStyle w:val="Compact"/>
      </w:pPr>
      <w:r>
        <w:t xml:space="preserve">Primary conversion event: paid enrolment (Purchase) at 999 PKR</w:t>
      </w:r>
    </w:p>
    <w:p>
      <w:pPr>
        <w:numPr>
          <w:ilvl w:val="0"/>
          <w:numId w:val="1002"/>
        </w:numPr>
        <w:pStyle w:val="Compact"/>
      </w:pPr>
      <w:r>
        <w:t xml:space="preserve">Secondary conversion event: free-course signup (Lead)</w:t>
      </w:r>
    </w:p>
    <w:p>
      <w:pPr>
        <w:numPr>
          <w:ilvl w:val="0"/>
          <w:numId w:val="1002"/>
        </w:numPr>
        <w:pStyle w:val="Compact"/>
      </w:pPr>
      <w:r>
        <w:t xml:space="preserve">“</w:t>
      </w:r>
      <w:r>
        <w:t xml:space="preserve">Done</w:t>
      </w:r>
      <w:r>
        <w:t xml:space="preserve">”</w:t>
      </w:r>
      <w:r>
        <w:t xml:space="preserve"> </w:t>
      </w:r>
      <w:r>
        <w:t xml:space="preserve">= trust fixed, single price live, checkout works on JazzCash/Easypaisa, pixel + GA + WhatsApp firing, performance targets met, legal pages live</w:t>
      </w:r>
    </w:p>
    <w:bookmarkEnd w:id="25"/>
    <w:bookmarkStart w:id="26" w:name="a7.-build-priority-if-not-all-at-once"/>
    <w:p>
      <w:pPr>
        <w:pStyle w:val="Heading3"/>
      </w:pPr>
      <w:r>
        <w:t xml:space="preserve">A7. Build Priority (if not all at once)</w:t>
      </w:r>
    </w:p>
    <w:p>
      <w:pPr>
        <w:numPr>
          <w:ilvl w:val="0"/>
          <w:numId w:val="1003"/>
        </w:numPr>
        <w:pStyle w:val="Compact"/>
      </w:pPr>
      <w:r>
        <w:t xml:space="preserve">Trust: real photo + real testimonials (F5, F6) — biggest lever</w:t>
      </w:r>
    </w:p>
    <w:p>
      <w:pPr>
        <w:numPr>
          <w:ilvl w:val="0"/>
          <w:numId w:val="1003"/>
        </w:numPr>
        <w:pStyle w:val="Compact"/>
      </w:pPr>
      <w:r>
        <w:t xml:space="preserve">Hero rebuild + social proof + single CTA (F1, F12)</w:t>
      </w:r>
    </w:p>
    <w:p>
      <w:pPr>
        <w:numPr>
          <w:ilvl w:val="0"/>
          <w:numId w:val="1003"/>
        </w:numPr>
        <w:pStyle w:val="Compact"/>
      </w:pPr>
      <w:r>
        <w:t xml:space="preserve">Single price + working checkout (F8, T5)</w:t>
      </w:r>
    </w:p>
    <w:p>
      <w:pPr>
        <w:numPr>
          <w:ilvl w:val="0"/>
          <w:numId w:val="1003"/>
        </w:numPr>
        <w:pStyle w:val="Compact"/>
      </w:pPr>
      <w:r>
        <w:t xml:space="preserve">Legal pages (C1) — unblocks ads</w:t>
      </w:r>
    </w:p>
    <w:p>
      <w:pPr>
        <w:numPr>
          <w:ilvl w:val="0"/>
          <w:numId w:val="1003"/>
        </w:numPr>
        <w:pStyle w:val="Compact"/>
      </w:pPr>
      <w:r>
        <w:t xml:space="preserve">Merge pillars/modules, remove nav, WhatsApp button (F4, F11, F13)</w:t>
      </w:r>
    </w:p>
    <w:p>
      <w:pPr>
        <w:numPr>
          <w:ilvl w:val="0"/>
          <w:numId w:val="1003"/>
        </w:numPr>
        <w:pStyle w:val="Compact"/>
      </w:pPr>
      <w:r>
        <w:t xml:space="preserve">Tracking + performance pass (T1–T4, A5)</w:t>
      </w:r>
    </w:p>
    <w:p>
      <w:r>
        <w:pict>
          <v:rect style="width:0;height:1.5pt" o:hralign="center" o:hrstd="t" o:hr="t"/>
        </w:pict>
      </w:r>
    </w:p>
    <w:bookmarkEnd w:id="26"/>
    <w:bookmarkEnd w:id="27"/>
    <w:bookmarkStart w:id="42" w:name="part-b-full-website-copy"/>
    <w:p>
      <w:pPr>
        <w:pStyle w:val="Heading2"/>
      </w:pPr>
      <w:r>
        <w:t xml:space="preserve">PART B — Full Website Copy</w:t>
      </w:r>
    </w:p>
    <w:bookmarkStart w:id="28" w:name="hero"/>
    <w:p>
      <w:pPr>
        <w:pStyle w:val="Heading3"/>
      </w:pPr>
      <w:r>
        <w:t xml:space="preserve">Hero</w:t>
      </w:r>
    </w:p>
    <w:p>
      <w:pPr>
        <w:pStyle w:val="BlockText"/>
      </w:pPr>
      <w:r>
        <w:rPr>
          <w:bCs/>
          <w:b/>
        </w:rPr>
        <w:t xml:space="preserve">PAKISTAN’S MOST-ENROLLED AI COURSE</w:t>
      </w:r>
      <w:r>
        <w:t xml:space="preserve"> </w:t>
      </w:r>
      <w:r>
        <w:t xml:space="preserve"># Learn AI skills people actually get paid for.</w:t>
      </w:r>
      <w:r>
        <w:t xml:space="preserve"> </w:t>
      </w:r>
      <w:r>
        <w:t xml:space="preserve">ChatGPT, MidJourney, AI agents, and the workflows that save you hours every week — with English subtitles throughout. Self-paced, lifetime access. No experience, no maths, no jargon.</w:t>
      </w:r>
      <w:r>
        <w:t xml:space="preserve"> </w:t>
      </w:r>
      <w:r>
        <w:rPr>
          <w:bCs/>
          <w:b/>
        </w:rPr>
        <w:t xml:space="preserve">38,000+ students · 13,000+ reviews · 4.5★ average · learners in 100+ countries</w:t>
      </w:r>
      <w:r>
        <w:t xml:space="preserve"> </w:t>
      </w:r>
      <w:r>
        <w:rPr>
          <w:bCs/>
          <w:b/>
        </w:rPr>
        <w:t xml:space="preserve">[ Enrol Now — 999 PKR ]</w:t>
      </w:r>
      <w:r>
        <w:t xml:space="preserve"> </w:t>
      </w:r>
      <w:r>
        <w:rPr>
          <w:iCs/>
          <w:i/>
        </w:rPr>
        <w:t xml:space="preserve">Secondary link:</w:t>
      </w:r>
      <w:r>
        <w:t xml:space="preserve"> </w:t>
      </w:r>
      <w:r>
        <w:t xml:space="preserve">Not ready? Start with the free course →</w:t>
      </w:r>
    </w:p>
    <w:bookmarkEnd w:id="28"/>
    <w:bookmarkStart w:id="29" w:name="trust-strip"/>
    <w:p>
      <w:pPr>
        <w:pStyle w:val="Heading3"/>
      </w:pPr>
      <w:r>
        <w:t xml:space="preserve">Trust Strip</w:t>
      </w:r>
    </w:p>
    <w:p>
      <w:pPr>
        <w:pStyle w:val="BlockText"/>
      </w:pPr>
      <w:r>
        <w:t xml:space="preserve">Taught on Udemy, the world’s largest learning marketplace — by an instructor with a decade across Deloitte, PwC, BMO, and Microsoft.</w:t>
      </w:r>
    </w:p>
    <w:bookmarkEnd w:id="29"/>
    <w:bookmarkStart w:id="31" w:name="who-this-is-for"/>
    <w:p>
      <w:pPr>
        <w:pStyle w:val="Heading3"/>
      </w:pPr>
      <w:r>
        <w:t xml:space="preserve">Who This Is For</w:t>
      </w:r>
    </w:p>
    <w:p>
      <w:pPr>
        <w:pStyle w:val="Heading2"/>
      </w:pPr>
      <w:bookmarkStart w:id="30" w:name="built-for-where-you-are-right-now."/>
      <w:r>
        <w:t xml:space="preserve">Built for where you are right now.</w:t>
      </w:r>
      <w:bookmarkEnd w:id="30"/>
    </w:p>
    <w:p>
      <w:pPr>
        <w:pStyle w:val="BlockText"/>
      </w:pPr>
      <w:r>
        <w:t xml:space="preserve">Whatever your starting point, this course meets you there and takes you somewhere useful.</w:t>
      </w:r>
    </w:p>
    <w:p>
      <w:pPr>
        <w:pStyle w:val="BlockText"/>
      </w:pPr>
      <w:r>
        <w:rPr>
          <w:bCs/>
          <w:b/>
        </w:rPr>
        <w:t xml:space="preserve">If you’re a beginner</w:t>
      </w:r>
      <w:r>
        <w:t xml:space="preserve"> </w:t>
      </w:r>
      <w:r>
        <w:t xml:space="preserve">You’ve heard about AI everywhere and you’re tired of watching from the sidelines. This gives you a real foundation — no maths, no jargon, just skills you can use this week. You’ll speak about AI confidently instead of faking it, build your first real project, and finally know which tool fits which job.</w:t>
      </w:r>
    </w:p>
    <w:p>
      <w:pPr>
        <w:pStyle w:val="BlockText"/>
      </w:pPr>
      <w:r>
        <w:rPr>
          <w:bCs/>
          <w:b/>
        </w:rPr>
        <w:t xml:space="preserve">If you’re a working professional</w:t>
      </w:r>
      <w:r>
        <w:t xml:space="preserve"> </w:t>
      </w:r>
      <w:r>
        <w:t xml:space="preserve">You don’t want theory — you want to be noticeably better at the job you already do. We focus on workflows: how to actually plug AI into your work as a marketer, writer, designer, or analyst. You’ll save ten or more hours a week on routine tasks, build custom GPTs for your team, and automate the parts of your role you’ve always disliked.</w:t>
      </w:r>
    </w:p>
    <w:p>
      <w:pPr>
        <w:pStyle w:val="BlockText"/>
      </w:pPr>
      <w:r>
        <w:rPr>
          <w:bCs/>
          <w:b/>
        </w:rPr>
        <w:t xml:space="preserve">If you’re a founder or freelancer</w:t>
      </w:r>
      <w:r>
        <w:t xml:space="preserve"> </w:t>
      </w:r>
      <w:r>
        <w:t xml:space="preserve">You want to ship and earn without a big team behind you. AI workflows are how solo operators now compete with funded startups. You’ll build and launch without hiring engineers, package AI services clients will pay for, and validate ideas in days instead of months.</w:t>
      </w:r>
    </w:p>
    <w:bookmarkEnd w:id="31"/>
    <w:bookmarkStart w:id="32" w:name="what-youll-learn"/>
    <w:p>
      <w:pPr>
        <w:pStyle w:val="Heading3"/>
      </w:pPr>
      <w:r>
        <w:t xml:space="preserve">What You’ll Learn</w:t>
      </w:r>
    </w:p>
    <w:p>
      <w:pPr>
        <w:pStyle w:val="FirstParagraph"/>
      </w:pPr>
      <w:r>
        <w:rPr>
          <w:iCs/>
          <w:i/>
        </w:rPr>
        <w:t xml:space="preserve">Six accordions. Title visible; paragraph expands. Replaces the old 10 pillars + 8 modules.</w:t>
      </w:r>
      <w:r>
        <w:t xml:space="preserve"> </w:t>
      </w:r>
      <w:r>
        <w:t xml:space="preserve">&gt; ## Skills that turn into income and saved time.</w:t>
      </w:r>
      <w:r>
        <w:t xml:space="preserve"> </w:t>
      </w:r>
      <w:r>
        <w:t xml:space="preserve">&gt; This isn’t a tour of features. Every section ends with something you can do, sell, or automate.</w:t>
      </w:r>
    </w:p>
    <w:p>
      <w:pPr>
        <w:numPr>
          <w:ilvl w:val="0"/>
          <w:numId w:val="1004"/>
        </w:numPr>
        <w:pStyle w:val="Compact"/>
      </w:pPr>
      <w:r>
        <w:rPr>
          <w:bCs/>
          <w:b/>
        </w:rPr>
        <w:t xml:space="preserve">Write prompts that actually work.</w:t>
      </w:r>
      <w:r>
        <w:t xml:space="preserve"> </w:t>
      </w:r>
      <w:r>
        <w:t xml:space="preserve">Most people type a request and hope. You’ll learn the structure behind reliable, professional output every time — the difference between a toy and a tool.</w:t>
      </w:r>
    </w:p>
    <w:p>
      <w:pPr>
        <w:numPr>
          <w:ilvl w:val="0"/>
          <w:numId w:val="1004"/>
        </w:numPr>
        <w:pStyle w:val="Compact"/>
      </w:pPr>
      <w:r>
        <w:rPr>
          <w:bCs/>
          <w:b/>
        </w:rPr>
        <w:t xml:space="preserve">Create and sell AI art.</w:t>
      </w:r>
      <w:r>
        <w:t xml:space="preserve"> </w:t>
      </w:r>
      <w:r>
        <w:t xml:space="preserve">Use MidJourney to produce artwork good enough to sell, then put it to work on Etsy and print-on-demand platforms as a real income stream.</w:t>
      </w:r>
    </w:p>
    <w:p>
      <w:pPr>
        <w:numPr>
          <w:ilvl w:val="0"/>
          <w:numId w:val="1004"/>
        </w:numPr>
        <w:pStyle w:val="Compact"/>
      </w:pPr>
      <w:r>
        <w:rPr>
          <w:bCs/>
          <w:b/>
        </w:rPr>
        <w:t xml:space="preserve">Automate your busywork.</w:t>
      </w:r>
      <w:r>
        <w:t xml:space="preserve"> </w:t>
      </w:r>
      <w:r>
        <w:t xml:space="preserve">Email, content, customer support, marketing follow-ups — you’ll hand the repetitive work to AI and get your hours back.</w:t>
      </w:r>
    </w:p>
    <w:p>
      <w:pPr>
        <w:numPr>
          <w:ilvl w:val="0"/>
          <w:numId w:val="1004"/>
        </w:numPr>
        <w:pStyle w:val="Compact"/>
      </w:pPr>
      <w:r>
        <w:rPr>
          <w:bCs/>
          <w:b/>
        </w:rPr>
        <w:t xml:space="preserve">Build products without a developer.</w:t>
      </w:r>
      <w:r>
        <w:t xml:space="preserve"> </w:t>
      </w:r>
      <w:r>
        <w:t xml:space="preserve">Through Vibe Coding, you’ll turn ideas into working apps, dashboards, and data projects — even if you’ve never written code.</w:t>
      </w:r>
    </w:p>
    <w:p>
      <w:pPr>
        <w:numPr>
          <w:ilvl w:val="0"/>
          <w:numId w:val="1004"/>
        </w:numPr>
        <w:pStyle w:val="Compact"/>
      </w:pPr>
      <w:r>
        <w:rPr>
          <w:bCs/>
          <w:b/>
        </w:rPr>
        <w:t xml:space="preserve">Pull traffic with AI marketing and SEO.</w:t>
      </w:r>
      <w:r>
        <w:t xml:space="preserve"> </w:t>
      </w:r>
      <w:r>
        <w:t xml:space="preserve">Generate search-optimized content and run campaigns that actually bring people in, without an agency.</w:t>
      </w:r>
    </w:p>
    <w:p>
      <w:pPr>
        <w:numPr>
          <w:ilvl w:val="0"/>
          <w:numId w:val="1004"/>
        </w:numPr>
        <w:pStyle w:val="Compact"/>
      </w:pPr>
      <w:r>
        <w:rPr>
          <w:bCs/>
          <w:b/>
        </w:rPr>
        <w:t xml:space="preserve">Build your own AI agents.</w:t>
      </w:r>
      <w:r>
        <w:t xml:space="preserve"> </w:t>
      </w:r>
      <w:r>
        <w:t xml:space="preserve">When you’re ready to go advanced, you’ll create LangChain and LangGraph agents that handle real, multi-step workflows on their own.</w:t>
      </w:r>
    </w:p>
    <w:bookmarkEnd w:id="32"/>
    <w:bookmarkStart w:id="33" w:name="instructor"/>
    <w:p>
      <w:pPr>
        <w:pStyle w:val="Heading3"/>
      </w:pPr>
      <w:r>
        <w:t xml:space="preserve">Instructor</w:t>
      </w:r>
    </w:p>
    <w:p>
      <w:pPr>
        <w:pStyle w:val="FirstParagraph"/>
      </w:pPr>
      <w:r>
        <w:rPr>
          <w:iCs/>
          <w:i/>
        </w:rPr>
        <w:t xml:space="preserve">Add real photo. Remove placeholder.</w:t>
      </w:r>
      <w:r>
        <w:t xml:space="preserve"> </w:t>
      </w:r>
      <w:r>
        <w:t xml:space="preserve">&gt; ## A decade at Deloitte, PwC, BMO, and Microsoft — and 38,000+ students taught.</w:t>
      </w:r>
      <w:r>
        <w:t xml:space="preserve"> </w:t>
      </w:r>
      <w:r>
        <w:t xml:space="preserve">&gt; Meet Saad Ahmed, the founder of SeekhoAI. His background is in data science, business, and finance, and his entire focus is on helping people use AI rather than just talk about it. Students across more than a hundred countries have taken his courses and left over 13,000 reviews at a 4.5-star average. When you enrol, you’re learning from someone who has both done the work at Fortune 500 scale and taught it to tens of thousands of beginners.</w:t>
      </w:r>
      <w:r>
        <w:t xml:space="preserve"> </w:t>
      </w:r>
      <w:r>
        <w:t xml:space="preserve">&gt;</w:t>
      </w:r>
      <w:r>
        <w:t xml:space="preserve"> </w:t>
      </w:r>
      <w:r>
        <w:rPr>
          <w:bCs/>
          <w:b/>
        </w:rPr>
        <w:t xml:space="preserve">[ See Saad’s Udemy profile → ]</w:t>
      </w:r>
    </w:p>
    <w:bookmarkEnd w:id="33"/>
    <w:bookmarkStart w:id="35" w:name="student-voices"/>
    <w:p>
      <w:pPr>
        <w:pStyle w:val="Heading3"/>
      </w:pPr>
      <w:r>
        <w:t xml:space="preserve">Student Voices</w:t>
      </w:r>
    </w:p>
    <w:p>
      <w:pPr>
        <w:pStyle w:val="Heading2"/>
      </w:pPr>
      <w:bookmarkStart w:id="34" w:name="real-students.-real-reviews."/>
      <w:r>
        <w:t xml:space="preserve">Real students. Real reviews.</w:t>
      </w:r>
      <w:bookmarkEnd w:id="34"/>
    </w:p>
    <w:p>
      <w:pPr>
        <w:pStyle w:val="BlockText"/>
      </w:pPr>
      <w:r>
        <w:t xml:space="preserve">These come straight from the 13,000+ reviews on Udemy — unedited, from people who took the course.</w:t>
      </w:r>
    </w:p>
    <w:p>
      <w:pPr>
        <w:pStyle w:val="BlockText"/>
      </w:pPr>
      <w:r>
        <w:t xml:space="preserve">⚠️</w:t>
      </w:r>
      <w:r>
        <w:t xml:space="preserve"> </w:t>
      </w:r>
      <w:r>
        <w:rPr>
          <w:iCs/>
          <w:i/>
        </w:rPr>
        <w:t xml:space="preserve">Insert 3–6 genuine Udemy review screenshots here, ideally with 2–3 local Pakistani students. Do NOT use stock names.</w:t>
      </w:r>
    </w:p>
    <w:bookmarkEnd w:id="35"/>
    <w:bookmarkStart w:id="36" w:name="free-course-band"/>
    <w:p>
      <w:pPr>
        <w:pStyle w:val="Heading3"/>
      </w:pPr>
      <w:r>
        <w:t xml:space="preserve">Free Course Band</w:t>
      </w:r>
    </w:p>
    <w:p>
      <w:pPr>
        <w:pStyle w:val="BlockText"/>
      </w:pPr>
      <w:r>
        <w:rPr>
          <w:bCs/>
          <w:b/>
        </w:rPr>
        <w:t xml:space="preserve">FREE — NO CARD REQUIRED</w:t>
      </w:r>
      <w:r>
        <w:t xml:space="preserve"> </w:t>
      </w:r>
      <w:r>
        <w:t xml:space="preserve">## Not ready to buy? Start free.</w:t>
      </w:r>
      <w:r>
        <w:t xml:space="preserve"> </w:t>
      </w:r>
      <w:r>
        <w:t xml:space="preserve">Begin with the full Introduction to GenAI course — over 14 hours and 179 lectures that take you from zero to your first useful AI workflows. Sign up and your access link comes straight to you. Here’s what it covers:</w:t>
      </w:r>
      <w:r>
        <w:t xml:space="preserve"> </w:t>
      </w:r>
      <w:r>
        <w:t xml:space="preserve">What generative AI really is, explained without the jargon. The three things every good prompt needs to get reliable output. Hands-on demos with ChatGPT, Custom GPTs, and more. And how to tell when AI is the right tool for a task — and when it isn’t.</w:t>
      </w:r>
      <w:r>
        <w:t xml:space="preserve"> </w:t>
      </w:r>
      <w:r>
        <w:rPr>
          <w:bCs/>
          <w:b/>
        </w:rPr>
        <w:t xml:space="preserve">[ Get Free Access → ]</w:t>
      </w:r>
    </w:p>
    <w:bookmarkEnd w:id="36"/>
    <w:bookmarkStart w:id="38" w:name="pricing"/>
    <w:p>
      <w:pPr>
        <w:pStyle w:val="Heading3"/>
      </w:pPr>
      <w:r>
        <w:t xml:space="preserve">Pricing</w:t>
      </w:r>
    </w:p>
    <w:p>
      <w:pPr>
        <w:pStyle w:val="Heading2"/>
      </w:pPr>
      <w:bookmarkStart w:id="37" w:name="the-complete-ai-bootcamp"/>
      <w:r>
        <w:t xml:space="preserve">The Complete AI Bootcamp</w:t>
      </w:r>
      <w:bookmarkEnd w:id="37"/>
    </w:p>
    <w:p>
      <w:pPr>
        <w:pStyle w:val="BlockText"/>
      </w:pPr>
      <w:r>
        <w:rPr>
          <w:strike/>
        </w:rPr>
        <w:t xml:space="preserve">4999 PKR</w:t>
      </w:r>
      <w:r>
        <w:t xml:space="preserve"> </w:t>
      </w:r>
      <w:r>
        <w:rPr>
          <w:bCs/>
          <w:b/>
        </w:rPr>
        <w:t xml:space="preserve">999 PKR</w:t>
      </w:r>
      <w:r>
        <w:t xml:space="preserve"> </w:t>
      </w:r>
      <w:r>
        <w:t xml:space="preserve">— 80% off</w:t>
      </w:r>
      <w:r>
        <w:t xml:space="preserve"> </w:t>
      </w:r>
      <w:r>
        <w:t xml:space="preserve">One-time payment. Lifetime access. 30-day money-back guarantee. Pay easily with JazzCash or Easypaisa.</w:t>
      </w:r>
      <w:r>
        <w:t xml:space="preserve"> </w:t>
      </w:r>
      <w:r>
        <w:t xml:space="preserve">Here’s everything you get: 25+ hours of premium content, 97+ in-depth video lessons, a library of 2000+ real-world prompts, full AI art and MidJourney mastery, Vibe Coding fundamentals, business AI applications, a certificate of completion, and lifetime access to every future update.</w:t>
      </w:r>
      <w:r>
        <w:t xml:space="preserve"> </w:t>
      </w:r>
      <w:r>
        <w:rPr>
          <w:bCs/>
          <w:b/>
        </w:rPr>
        <w:t xml:space="preserve">[ Enrol Now — 999 PKR ]</w:t>
      </w:r>
      <w:r>
        <w:t xml:space="preserve"> </w:t>
      </w:r>
      <w:r>
        <w:rPr>
          <w:iCs/>
          <w:i/>
        </w:rPr>
        <w:t xml:space="preserve">Intro price — going up soon.</w:t>
      </w:r>
    </w:p>
    <w:bookmarkEnd w:id="38"/>
    <w:bookmarkStart w:id="39" w:name="faq"/>
    <w:p>
      <w:pPr>
        <w:pStyle w:val="Heading3"/>
      </w:pPr>
      <w:r>
        <w:t xml:space="preserve">FAQ</w:t>
      </w:r>
    </w:p>
    <w:p>
      <w:pPr>
        <w:pStyle w:val="BlockText"/>
      </w:pPr>
      <w:r>
        <w:rPr>
          <w:bCs/>
          <w:b/>
        </w:rPr>
        <w:t xml:space="preserve">Is this for absolute beginners?</w:t>
      </w:r>
      <w:r>
        <w:t xml:space="preserve"> </w:t>
      </w:r>
      <w:r>
        <w:t xml:space="preserve">Yes. There’s no maths and no coding background required — we start from zero and build up.</w:t>
      </w:r>
    </w:p>
    <w:p>
      <w:pPr>
        <w:pStyle w:val="BlockText"/>
      </w:pPr>
      <w:r>
        <w:rPr>
          <w:bCs/>
          <w:b/>
        </w:rPr>
        <w:t xml:space="preserve">How much time per week?</w:t>
      </w:r>
      <w:r>
        <w:t xml:space="preserve"> </w:t>
      </w:r>
      <w:r>
        <w:t xml:space="preserve">Around three hours. Most students finish in four to six weeks, but it’s fully self-paced, so you set the speed.</w:t>
      </w:r>
    </w:p>
    <w:p>
      <w:pPr>
        <w:pStyle w:val="BlockText"/>
      </w:pPr>
      <w:r>
        <w:rPr>
          <w:bCs/>
          <w:b/>
        </w:rPr>
        <w:t xml:space="preserve">What if I fall behind?</w:t>
      </w:r>
      <w:r>
        <w:t xml:space="preserve"> </w:t>
      </w:r>
      <w:r>
        <w:t xml:space="preserve">Nothing is lost. You have lifetime access, so you can pick it back up whenever life allows.</w:t>
      </w:r>
    </w:p>
    <w:p>
      <w:pPr>
        <w:pStyle w:val="BlockText"/>
      </w:pPr>
      <w:r>
        <w:rPr>
          <w:bCs/>
          <w:b/>
        </w:rPr>
        <w:t xml:space="preserve">Do you offer refunds?</w:t>
      </w:r>
      <w:r>
        <w:t xml:space="preserve"> </w:t>
      </w:r>
      <w:r>
        <w:t xml:space="preserve">Yes — a 30-day money-back guarantee. If the course isn’t right for you, you get your money back, no hassle.</w:t>
      </w:r>
    </w:p>
    <w:p>
      <w:pPr>
        <w:pStyle w:val="BlockText"/>
      </w:pPr>
      <w:r>
        <w:rPr>
          <w:bCs/>
          <w:b/>
        </w:rPr>
        <w:t xml:space="preserve">Is the certificate recognized?</w:t>
      </w:r>
      <w:r>
        <w:t xml:space="preserve"> </w:t>
      </w:r>
      <w:r>
        <w:t xml:space="preserve">You’ll earn a certificate of completion you can add to LinkedIn and share with employers.</w:t>
      </w:r>
    </w:p>
    <w:p>
      <w:pPr>
        <w:pStyle w:val="BlockText"/>
      </w:pPr>
      <w:r>
        <w:rPr>
          <w:bCs/>
          <w:b/>
        </w:rPr>
        <w:t xml:space="preserve">Can I pay in PKR?</w:t>
      </w:r>
      <w:r>
        <w:t xml:space="preserve"> </w:t>
      </w:r>
      <w:r>
        <w:t xml:space="preserve">Yes. You can pay easily with JazzCash or Easypaisa.</w:t>
      </w:r>
    </w:p>
    <w:p>
      <w:pPr>
        <w:pStyle w:val="BlockText"/>
      </w:pPr>
      <w:r>
        <w:rPr>
          <w:bCs/>
          <w:b/>
        </w:rPr>
        <w:t xml:space="preserve">Do I need a powerful computer?</w:t>
      </w:r>
      <w:r>
        <w:t xml:space="preserve"> </w:t>
      </w:r>
      <w:r>
        <w:t xml:space="preserve">No. Everything runs in the browser — a basic laptop, or even a phone, works for most of the lessons.</w:t>
      </w:r>
    </w:p>
    <w:p>
      <w:pPr>
        <w:pStyle w:val="BlockText"/>
      </w:pPr>
      <w:r>
        <w:rPr>
          <w:bCs/>
          <w:b/>
        </w:rPr>
        <w:t xml:space="preserve">Is the course in Urdu?</w:t>
      </w:r>
      <w:r>
        <w:t xml:space="preserve"> </w:t>
      </w:r>
      <w:r>
        <w:t xml:space="preserve">The course is taught in English with subtitles, so it’s easy to follow.</w:t>
      </w:r>
    </w:p>
    <w:p>
      <w:pPr>
        <w:pStyle w:val="BlockText"/>
      </w:pPr>
      <w:r>
        <w:rPr>
          <w:bCs/>
          <w:b/>
        </w:rPr>
        <w:t xml:space="preserve">What happens after I finish?</w:t>
      </w:r>
      <w:r>
        <w:t xml:space="preserve"> </w:t>
      </w:r>
      <w:r>
        <w:t xml:space="preserve">You keep lifetime access and all future updates, plus a spot in the student community.</w:t>
      </w:r>
    </w:p>
    <w:bookmarkEnd w:id="39"/>
    <w:bookmarkStart w:id="41" w:name="final-cta"/>
    <w:p>
      <w:pPr>
        <w:pStyle w:val="Heading3"/>
      </w:pPr>
      <w:r>
        <w:t xml:space="preserve">Final CTA</w:t>
      </w:r>
    </w:p>
    <w:p>
      <w:pPr>
        <w:pStyle w:val="Heading2"/>
      </w:pPr>
      <w:bookmarkStart w:id="40" w:name="start-learning-ai-today."/>
      <w:r>
        <w:t xml:space="preserve">Start learning AI today.</w:t>
      </w:r>
      <w:bookmarkEnd w:id="40"/>
    </w:p>
    <w:p>
      <w:pPr>
        <w:pStyle w:val="BlockText"/>
      </w:pPr>
      <w:r>
        <w:t xml:space="preserve">Join more than 38,000 students. Enrol in the full bootcamp for 999 PKR — or start free if you’re not ready yet.</w:t>
      </w:r>
      <w:r>
        <w:t xml:space="preserve"> </w:t>
      </w:r>
      <w:r>
        <w:rPr>
          <w:bCs/>
          <w:b/>
        </w:rPr>
        <w:t xml:space="preserve">[ Enrol Now — 999 PKR ]</w:t>
      </w:r>
      <w:r>
        <w:t xml:space="preserve"> </w:t>
      </w:r>
      <w:r>
        <w:rPr>
          <w:iCs/>
          <w:i/>
        </w:rPr>
        <w:t xml:space="preserve">Secondary link:</w:t>
      </w:r>
      <w:r>
        <w:t xml:space="preserve"> </w:t>
      </w:r>
      <w:r>
        <w:t xml:space="preserve">Start with the free course →</w:t>
      </w:r>
    </w:p>
    <w:p>
      <w:r>
        <w:pict>
          <v:rect style="width:0;height:1.5pt" o:hralign="center" o:hrstd="t" o:hr="t"/>
        </w:pict>
      </w:r>
    </w:p>
    <w:p>
      <w:pPr>
        <w:pStyle w:val="FirstParagraph"/>
      </w:pPr>
      <w:r>
        <w:rPr>
          <w:bCs/>
          <w:b/>
        </w:rPr>
        <w:t xml:space="preserve">You supply:</w:t>
      </w:r>
      <w:r>
        <w:t xml:space="preserve"> </w:t>
      </w:r>
      <w:r>
        <w:t xml:space="preserve">real Udemy review screenshots + instructor photo.</w:t>
      </w:r>
      <w:r>
        <w:t xml:space="preserve"> </w:t>
      </w:r>
      <w:r>
        <w:rPr>
          <w:bCs/>
          <w:b/>
        </w:rPr>
        <w:t xml:space="preserve">Maaz supplies:</w:t>
      </w:r>
      <w:r>
        <w:t xml:space="preserve"> </w:t>
      </w:r>
      <w:r>
        <w:t xml:space="preserve">WhatsApp business number + Easypaisa details (req R5/R6) — these block T5 and T6.</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2026-05-31T07:02:20Z</dcterms:created>
  <dcterms:modified xsi:type="dcterms:W3CDTF">2026-05-31T07:02:20Z</dcterms:modified>
</cp:coreProperties>
</file>

<file path=docProps/custom.xml><?xml version="1.0" encoding="utf-8"?>
<Properties xmlns="http://schemas.openxmlformats.org/officeDocument/2006/custom-properties" xmlns:vt="http://schemas.openxmlformats.org/officeDocument/2006/docPropsVTypes"/>
</file>