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A0E1A"/>
          <w:sz w:val="40"/>
          <w:szCs w:val="40"/>
        </w:rPr>
        <w:t xml:space="preserve">SeekhoAI — WhatsApp Funnel &amp; Message Sequence</w:t>
      </w:r>
    </w:p>
    <w:p>
      <w:pPr>
        <w:pBdr>
          <w:bottom w:val="single" w:color="1FB6A6" w:sz="6" w:space="1"/>
        </w:pBdr>
        <w:spacing w:after="240"/>
      </w:pPr>
      <w:r>
        <w:rPr>
          <w:i/>
          <w:iCs/>
          <w:color w:val="555555"/>
          <w:sz w:val="22"/>
          <w:szCs w:val="22"/>
        </w:rPr>
        <w:t xml:space="preserve">Free course → capture → WhatsApp close. Pakistan market, 999 PKR offer.</w:t>
      </w:r>
    </w:p>
    <w:p>
      <w:pPr>
        <w:pStyle w:val="Heading1"/>
      </w:pPr>
      <w:r>
        <w:t xml:space="preserve">1. The Funnel at a Glance</w:t>
      </w:r>
    </w:p>
    <w:p>
      <w:pPr>
        <w:spacing w:after="120"/>
      </w:pPr>
      <w:r>
        <w:t xml:space="preserve">The goal is the first $1,000 in revenue (~285 sales at 999 PKR). Email nurture is weak in Pakistan, so the conversation moves to WhatsApp after the free-course signup. The ad never sells the paid course directly — it sells the free course, captures contact details, and the 999 PKR close happens inside WhatsApp where open and reply rates are far higher.</w:t>
      </w:r>
    </w:p>
    <w:p>
      <w:pPr>
        <w:spacing w:after="120"/>
      </w:pPr>
      <w:r>
        <w:rPr>
          <w:b/>
          <w:bCs/>
        </w:rPr>
        <w:t xml:space="preserve">Flow:</w:t>
      </w:r>
    </w:p>
    <w:p>
      <w:pPr>
        <w:pStyle w:val="ListParagraph"/>
        <w:numPr>
          <w:ilvl w:val="0"/>
          <w:numId w:val="2"/>
        </w:numPr>
        <w:spacing w:after="60"/>
      </w:pPr>
      <w:r>
        <w:t xml:space="preserve">Meta ad (Leads objective) → free-course landing page</w:t>
      </w:r>
    </w:p>
    <w:p>
      <w:pPr>
        <w:pStyle w:val="ListParagraph"/>
        <w:numPr>
          <w:ilvl w:val="0"/>
          <w:numId w:val="2"/>
        </w:numPr>
        <w:spacing w:after="60"/>
      </w:pPr>
      <w:r>
        <w:t xml:space="preserve">Visitor submits Name + Email + Phone (+ WhatsApp consent)</w:t>
      </w:r>
    </w:p>
    <w:p>
      <w:pPr>
        <w:pStyle w:val="ListParagraph"/>
        <w:numPr>
          <w:ilvl w:val="0"/>
          <w:numId w:val="2"/>
        </w:numPr>
        <w:spacing w:after="60"/>
      </w:pPr>
      <w:r>
        <w:t xml:space="preserve">Instant: free course link delivered + WhatsApp conversation opens</w:t>
      </w:r>
    </w:p>
    <w:p>
      <w:pPr>
        <w:pStyle w:val="ListParagraph"/>
        <w:numPr>
          <w:ilvl w:val="0"/>
          <w:numId w:val="2"/>
        </w:numPr>
        <w:spacing w:after="60"/>
      </w:pPr>
      <w:r>
        <w:t xml:space="preserve">Message sequence over 3 days nurtures and presents the 4999 → 999 offer</w:t>
      </w:r>
    </w:p>
    <w:p>
      <w:pPr>
        <w:pStyle w:val="ListParagraph"/>
        <w:numPr>
          <w:ilvl w:val="0"/>
          <w:numId w:val="2"/>
        </w:numPr>
        <w:spacing w:after="60"/>
      </w:pPr>
      <w:r>
        <w:t xml:space="preserve">Close in chat with a JazzCash / Easypaisa payment link</w:t>
      </w:r>
    </w:p>
    <w:p>
      <w:pPr>
        <w:spacing w:after="120"/>
      </w:pPr>
      <w:r>
        <w:rPr>
          <w:i/>
          <w:iCs/>
          <w:color w:val="555555"/>
        </w:rPr>
        <w:t xml:space="preserve">Why WhatsApp over email: open rates flip from roughly 20% (email in PK) to 90%+ (WhatsApp), and the purchase decision in Pakistan is built on direct conversation and local payment rails, not an inbox.</w:t>
      </w:r>
    </w:p>
    <w:p>
      <w:pPr>
        <w:pStyle w:val="Heading1"/>
      </w:pPr>
      <w:r>
        <w:t xml:space="preserve">2. The One Rule That Governs Everything: The 24-Hour Window</w:t>
      </w:r>
    </w:p>
    <w:p>
      <w:pPr>
        <w:spacing w:after="120"/>
      </w:pPr>
      <w:r>
        <w:t xml:space="preserve">WhatsApp is not email. You cannot blast a 5-part sequence whenever you like. The platform enforces a session model:</w:t>
      </w:r>
    </w:p>
    <w:p>
      <w:pPr>
        <w:pStyle w:val="ListParagraph"/>
        <w:numPr>
          <w:ilvl w:val="0"/>
          <w:numId w:val="2"/>
        </w:numPr>
        <w:spacing w:after="60"/>
      </w:pPr>
      <w:r>
        <w:rPr>
          <w:b/>
          <w:bCs/>
        </w:rPr>
        <w:t xml:space="preserve">Inside 24 hours: </w:t>
      </w:r>
      <w:r>
        <w:t xml:space="preserve">Once the user messages you first (a Click-to-WhatsApp ad makes them do this), you can send any free-form messages for 24 hours.</w:t>
      </w:r>
    </w:p>
    <w:p>
      <w:pPr>
        <w:pStyle w:val="ListParagraph"/>
        <w:numPr>
          <w:ilvl w:val="0"/>
          <w:numId w:val="2"/>
        </w:numPr>
        <w:spacing w:after="60"/>
      </w:pPr>
      <w:r>
        <w:rPr>
          <w:b/>
          <w:bCs/>
        </w:rPr>
        <w:t xml:space="preserve">After 24 hours: </w:t>
      </w:r>
      <w:r>
        <w:t xml:space="preserve">You can only re-open the chat with a pre-approved template message. Free-form is blocked until they reply again.</w:t>
      </w:r>
    </w:p>
    <w:p>
      <w:pPr>
        <w:spacing w:after="120"/>
      </w:pPr>
      <w:r>
        <w:rPr>
          <w:b/>
          <w:bCs/>
        </w:rPr>
        <w:t xml:space="preserve">Practical consequence: messages 0–2 (all within the first day) can be free-form and conversational. Messages 3–4 (Day 2 and Day 3) must be approved templates. Plan the sequence around this — it is the single thing that gets numbers banned when ignored.</w:t>
      </w:r>
    </w:p>
    <w:p>
      <w:pPr>
        <w:pStyle w:val="Heading1"/>
      </w:pPr>
      <w:r>
        <w:t xml:space="preserve">3. What You Need to Set Up</w:t>
      </w:r>
    </w:p>
    <w:p>
      <w:pPr>
        <w:pStyle w:val="Heading2"/>
      </w:pPr>
      <w:r>
        <w:t xml:space="preserve">3.1 WhatsApp Business API (not the free app)</w:t>
      </w:r>
    </w:p>
    <w:p>
      <w:pPr>
        <w:spacing w:after="120"/>
      </w:pPr>
      <w:r>
        <w:t xml:space="preserve">The free WhatsApp Business app cannot send automated sequences or approved templates at scale, and manual blasting from it gets the number flagged. Use a Business API provider that handles automation and template approval. PK-friendly options:</w:t>
      </w:r>
    </w:p>
    <w:p>
      <w:pPr>
        <w:pStyle w:val="ListParagraph"/>
        <w:numPr>
          <w:ilvl w:val="0"/>
          <w:numId w:val="2"/>
        </w:numPr>
        <w:spacing w:after="60"/>
      </w:pPr>
      <w:r>
        <w:t xml:space="preserve">AiSensy — popular in South Asia, low cost, good for template campaigns</w:t>
      </w:r>
    </w:p>
    <w:p>
      <w:pPr>
        <w:pStyle w:val="ListParagraph"/>
        <w:numPr>
          <w:ilvl w:val="0"/>
          <w:numId w:val="2"/>
        </w:numPr>
        <w:spacing w:after="60"/>
      </w:pPr>
      <w:r>
        <w:t xml:space="preserve">Wati — strong automation builder, slightly pricier</w:t>
      </w:r>
    </w:p>
    <w:p>
      <w:pPr>
        <w:pStyle w:val="ListParagraph"/>
        <w:numPr>
          <w:ilvl w:val="0"/>
          <w:numId w:val="2"/>
        </w:numPr>
        <w:spacing w:after="60"/>
      </w:pPr>
      <w:r>
        <w:t xml:space="preserve">Interakt — solid catalog + payment integrations</w:t>
      </w:r>
    </w:p>
    <w:p>
      <w:pPr>
        <w:spacing w:after="120"/>
      </w:pPr>
      <w:r>
        <w:t xml:space="preserve">Any of these connects to your Meta Click-to-WhatsApp ads and triggers the sequence automatically.</w:t>
      </w:r>
    </w:p>
    <w:p>
      <w:pPr>
        <w:pStyle w:val="Heading2"/>
      </w:pPr>
      <w:r>
        <w:t xml:space="preserve">3.2 Lead capture wiring</w:t>
      </w:r>
    </w:p>
    <w:p>
      <w:pPr>
        <w:pStyle w:val="ListParagraph"/>
        <w:numPr>
          <w:ilvl w:val="0"/>
          <w:numId w:val="2"/>
        </w:numPr>
        <w:spacing w:after="60"/>
      </w:pPr>
      <w:r>
        <w:t xml:space="preserve">Free-course landing page form posts Name, Email, Phone to your provider (or to a sheet that syncs)</w:t>
      </w:r>
    </w:p>
    <w:p>
      <w:pPr>
        <w:pStyle w:val="ListParagraph"/>
        <w:numPr>
          <w:ilvl w:val="0"/>
          <w:numId w:val="2"/>
        </w:numPr>
        <w:spacing w:after="60"/>
      </w:pPr>
      <w:r>
        <w:t xml:space="preserve">Phone is a required field; store explicit WhatsApp consent: “Send my course access + updates on WhatsApp”</w:t>
      </w:r>
    </w:p>
    <w:p>
      <w:pPr>
        <w:pStyle w:val="ListParagraph"/>
        <w:numPr>
          <w:ilvl w:val="0"/>
          <w:numId w:val="2"/>
        </w:numPr>
        <w:spacing w:after="60"/>
      </w:pPr>
      <w:r>
        <w:t xml:space="preserve">Consent matters — spam reports, not message volume, are what ban numbers</w:t>
      </w:r>
    </w:p>
    <w:p>
      <w:pPr>
        <w:pStyle w:val="Heading2"/>
      </w:pPr>
      <w:r>
        <w:t xml:space="preserve">3.3 Payment rails — the biggest leak at 999 PKR</w:t>
      </w:r>
    </w:p>
    <w:p>
      <w:pPr>
        <w:pStyle w:val="ListParagraph"/>
        <w:numPr>
          <w:ilvl w:val="0"/>
          <w:numId w:val="2"/>
        </w:numPr>
        <w:spacing w:after="60"/>
      </w:pPr>
      <w:r>
        <w:t xml:space="preserve">Set up JazzCash and Easypaisa payment links — not international cards</w:t>
      </w:r>
    </w:p>
    <w:p>
      <w:pPr>
        <w:pStyle w:val="ListParagraph"/>
        <w:numPr>
          <w:ilvl w:val="0"/>
          <w:numId w:val="2"/>
        </w:numPr>
        <w:spacing w:after="60"/>
      </w:pPr>
      <w:r>
        <w:t xml:space="preserve">At 999 PKR the buyer wants a local, one-tap mobile-wallet payment; card-only checkout loses most conversions</w:t>
      </w:r>
    </w:p>
    <w:p>
      <w:pPr>
        <w:pStyle w:val="ListParagraph"/>
        <w:numPr>
          <w:ilvl w:val="0"/>
          <w:numId w:val="2"/>
        </w:numPr>
        <w:spacing w:after="60"/>
      </w:pPr>
      <w:r>
        <w:t xml:space="preserve">Have the payment link ready as a pasteable message before any ad spend</w:t>
      </w:r>
    </w:p>
    <w:p>
      <w:pPr>
        <w:pStyle w:val="Heading2"/>
      </w:pPr>
      <w:r>
        <w:t xml:space="preserve">3.4 Measurement</w:t>
      </w:r>
    </w:p>
    <w:p>
      <w:pPr>
        <w:pStyle w:val="ListParagraph"/>
        <w:numPr>
          <w:ilvl w:val="0"/>
          <w:numId w:val="2"/>
        </w:numPr>
        <w:spacing w:after="60"/>
      </w:pPr>
      <w:r>
        <w:t xml:space="preserve">Install the Meta Pixel; fire a “Lead” event on form submit</w:t>
      </w:r>
    </w:p>
    <w:p>
      <w:pPr>
        <w:pStyle w:val="ListParagraph"/>
        <w:numPr>
          <w:ilvl w:val="0"/>
          <w:numId w:val="2"/>
        </w:numPr>
        <w:spacing w:after="60"/>
      </w:pPr>
      <w:r>
        <w:t xml:space="preserve">Track four numbers: cost per lead → lead-to-sale % → cost per buyer → revenue</w:t>
      </w:r>
    </w:p>
    <w:p>
      <w:pPr>
        <w:pStyle w:val="Heading1"/>
      </w:pPr>
      <w:r>
        <w:t xml:space="preserve">4. The WhatsApp Message Sequence</w:t>
      </w:r>
    </w:p>
    <w:p>
      <w:pPr>
        <w:spacing w:after="120"/>
      </w:pPr>
      <w:r>
        <w:rPr>
          <w:i/>
          <w:iCs/>
          <w:color w:val="555555"/>
        </w:rPr>
        <w:t xml:space="preserve">Five touches across three days. Keep them short. Roman-Urdu / Urdu where natural. The offer message works well as a voice note in PK. English versions below; adapt tone to your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B6A6" w:val="clear"/>
            <w:tcMar>
              <w:top w:type="dxa" w:w="80"/>
              <w:left w:type="dxa" w:w="140"/>
              <w:bottom w:type="dxa" w:w="80"/>
              <w:right w:type="dxa" w:w="140"/>
            </w:tcMar>
          </w:tcPr>
          <w:p>
            <w:r>
              <w:rPr>
                <w:b/>
                <w:bCs/>
                <w:color w:val="FFFFFF"/>
                <w:sz w:val="22"/>
                <w:szCs w:val="22"/>
              </w:rPr>
              <w:t xml:space="preserve">Message 0 — Free Course Delivery</w:t>
            </w:r>
            <w:r>
              <w:rPr>
                <w:i/>
                <w:iCs/>
                <w:color w:val="E6FFFB"/>
                <w:sz w:val="18"/>
                <w:szCs w:val="18"/>
              </w:rPr>
              <w:t xml:space="preserve">   Instant auto-reply, on signup</w:t>
            </w:r>
          </w:p>
        </w:tc>
      </w:tr>
      <w:tr>
        <w:tc>
          <w:tcPr>
            <w:tcW w:type="dxa" w:w="9360"/>
            <w:tcBorders>
              <w:top w:val="single" w:color="CCCCCC" w:sz="1"/>
              <w:left w:val="single" w:color="CCCCCC" w:sz="1"/>
              <w:bottom w:val="single" w:color="CCCCCC" w:sz="1"/>
              <w:right w:val="single" w:color="CCCCCC" w:sz="1"/>
            </w:tcBorders>
            <w:shd w:fill="F4FBFA" w:val="clear"/>
            <w:tcMar>
              <w:top w:type="dxa" w:w="100"/>
              <w:left w:type="dxa" w:w="140"/>
              <w:bottom w:type="dxa" w:w="100"/>
              <w:right w:type="dxa" w:w="140"/>
            </w:tcMar>
          </w:tcPr>
          <w:p>
            <w:pPr>
              <w:spacing w:after="80"/>
            </w:pPr>
            <w:r>
              <w:rPr>
                <w:sz w:val="20"/>
                <w:szCs w:val="20"/>
              </w:rPr>
              <w:t xml:space="preserve">Assalam o Alaikum {name}! 🎉 Your FREE GenAI course access is ready.</w:t>
            </w:r>
          </w:p>
          <w:p>
            <w:pPr>
              <w:spacing w:after="80"/>
            </w:pPr>
            <w:r>
              <w:rPr>
                <w:sz w:val="20"/>
                <w:szCs w:val="20"/>
              </w:rPr>
              <w:t xml:space="preserve">👉 Here’s your link: {free_course_link}</w:t>
            </w:r>
          </w:p>
          <w:p>
            <w:pPr>
              <w:spacing w:after="80"/>
            </w:pPr>
            <w:r>
              <w:rPr>
                <w:sz w:val="20"/>
                <w:szCs w:val="20"/>
              </w:rPr>
              <w:t xml:space="preserve">14+ hours, 179 lectures, lifetime access. No card needed.</w:t>
            </w:r>
          </w:p>
          <w:p>
            <w:pPr>
              <w:spacing w:after="80"/>
            </w:pPr>
            <w:r>
              <w:rPr>
                <w:sz w:val="20"/>
                <w:szCs w:val="20"/>
              </w:rPr>
              <w:t xml:space="preserve">Reply DONE once you’ve opened it and I’ll share the best way to start.</w:t>
            </w:r>
          </w:p>
        </w:tc>
      </w:tr>
    </w:tbl>
    <w:p>
      <w:pPr>
        <w:spacing w:after="120"/>
      </w:pPr>
      <w:r>
        <w:rPr>
          <w:i/>
          <w:iCs/>
          <w:color w:val="555555"/>
          <w:sz w:val="18"/>
          <w:szCs w:val="18"/>
        </w:rPr>
        <w:t xml:space="preserve">Goal: deliver the promised thing instantly, build trust, get a reply (which extends the window). No selling.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B6A6" w:val="clear"/>
            <w:tcMar>
              <w:top w:type="dxa" w:w="80"/>
              <w:left w:type="dxa" w:w="140"/>
              <w:bottom w:type="dxa" w:w="80"/>
              <w:right w:type="dxa" w:w="140"/>
            </w:tcMar>
          </w:tcPr>
          <w:p>
            <w:r>
              <w:rPr>
                <w:b/>
                <w:bCs/>
                <w:color w:val="FFFFFF"/>
                <w:sz w:val="22"/>
                <w:szCs w:val="22"/>
              </w:rPr>
              <w:t xml:space="preserve">Message 1 — How to Start</w:t>
            </w:r>
            <w:r>
              <w:rPr>
                <w:i/>
                <w:iCs/>
                <w:color w:val="E6FFFB"/>
                <w:sz w:val="18"/>
                <w:szCs w:val="18"/>
              </w:rPr>
              <w:t xml:space="preserve">   ~5–15 min later (same session)</w:t>
            </w:r>
          </w:p>
        </w:tc>
      </w:tr>
      <w:tr>
        <w:tc>
          <w:tcPr>
            <w:tcW w:type="dxa" w:w="9360"/>
            <w:tcBorders>
              <w:top w:val="single" w:color="CCCCCC" w:sz="1"/>
              <w:left w:val="single" w:color="CCCCCC" w:sz="1"/>
              <w:bottom w:val="single" w:color="CCCCCC" w:sz="1"/>
              <w:right w:val="single" w:color="CCCCCC" w:sz="1"/>
            </w:tcBorders>
            <w:shd w:fill="F4FBFA" w:val="clear"/>
            <w:tcMar>
              <w:top w:type="dxa" w:w="100"/>
              <w:left w:type="dxa" w:w="140"/>
              <w:bottom w:type="dxa" w:w="100"/>
              <w:right w:type="dxa" w:w="140"/>
            </w:tcMar>
          </w:tcPr>
          <w:p>
            <w:pPr>
              <w:spacing w:after="80"/>
            </w:pPr>
            <w:r>
              <w:rPr>
                <w:sz w:val="20"/>
                <w:szCs w:val="20"/>
              </w:rPr>
              <w:t xml:space="preserve">Great! Here’s how to get the most out of it:</w:t>
            </w:r>
          </w:p>
          <w:p>
            <w:pPr>
              <w:spacing w:after="80"/>
            </w:pPr>
            <w:r>
              <w:rPr>
                <w:sz w:val="20"/>
                <w:szCs w:val="20"/>
              </w:rPr>
              <w:t xml:space="preserve">✅ Start with Section 1 (Prompt Engineering basics)</w:t>
            </w:r>
          </w:p>
          <w:p>
            <w:pPr>
              <w:spacing w:after="80"/>
            </w:pPr>
            <w:r>
              <w:rPr>
                <w:sz w:val="20"/>
                <w:szCs w:val="20"/>
              </w:rPr>
              <w:t xml:space="preserve">✅ Do the hands-on demo in lecture 4 — that’s where it clicks</w:t>
            </w:r>
          </w:p>
          <w:p>
            <w:pPr>
              <w:spacing w:after="80"/>
            </w:pPr>
            <w:r>
              <w:rPr>
                <w:sz w:val="20"/>
                <w:szCs w:val="20"/>
              </w:rPr>
              <w:t xml:space="preserve">Students from 100+ countries have taken Saad’s courses (13,000+ reviews, 4.5★).</w:t>
            </w:r>
          </w:p>
          <w:p>
            <w:pPr>
              <w:spacing w:after="80"/>
            </w:pPr>
            <w:r>
              <w:rPr>
                <w:sz w:val="20"/>
                <w:szCs w:val="20"/>
              </w:rPr>
              <w:t xml:space="preserve">Any question while you go through it, just message here.</w:t>
            </w:r>
          </w:p>
        </w:tc>
      </w:tr>
    </w:tbl>
    <w:p>
      <w:pPr>
        <w:spacing w:after="120"/>
      </w:pPr>
      <w:r>
        <w:rPr>
          <w:i/>
          <w:iCs/>
          <w:color w:val="555555"/>
          <w:sz w:val="18"/>
          <w:szCs w:val="18"/>
        </w:rPr>
        <w:t xml:space="preserve">Goal: activation + a real proof point. Still no hard 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B6A6" w:val="clear"/>
            <w:tcMar>
              <w:top w:type="dxa" w:w="80"/>
              <w:left w:type="dxa" w:w="140"/>
              <w:bottom w:type="dxa" w:w="80"/>
              <w:right w:type="dxa" w:w="140"/>
            </w:tcMar>
          </w:tcPr>
          <w:p>
            <w:r>
              <w:rPr>
                <w:b/>
                <w:bCs/>
                <w:color w:val="FFFFFF"/>
                <w:sz w:val="22"/>
                <w:szCs w:val="22"/>
              </w:rPr>
              <w:t xml:space="preserve">Message 2 — Value + Soft Offer</w:t>
            </w:r>
            <w:r>
              <w:rPr>
                <w:i/>
                <w:iCs/>
                <w:color w:val="E6FFFB"/>
                <w:sz w:val="18"/>
                <w:szCs w:val="18"/>
              </w:rPr>
              <w:t xml:space="preserve">   Few hours later (still inside 24h)</w:t>
            </w:r>
          </w:p>
        </w:tc>
      </w:tr>
      <w:tr>
        <w:tc>
          <w:tcPr>
            <w:tcW w:type="dxa" w:w="9360"/>
            <w:tcBorders>
              <w:top w:val="single" w:color="CCCCCC" w:sz="1"/>
              <w:left w:val="single" w:color="CCCCCC" w:sz="1"/>
              <w:bottom w:val="single" w:color="CCCCCC" w:sz="1"/>
              <w:right w:val="single" w:color="CCCCCC" w:sz="1"/>
            </w:tcBorders>
            <w:shd w:fill="F4FBFA" w:val="clear"/>
            <w:tcMar>
              <w:top w:type="dxa" w:w="100"/>
              <w:left w:type="dxa" w:w="140"/>
              <w:bottom w:type="dxa" w:w="100"/>
              <w:right w:type="dxa" w:w="140"/>
            </w:tcMar>
          </w:tcPr>
          <w:p>
            <w:pPr>
              <w:spacing w:after="80"/>
            </w:pPr>
            <w:r>
              <w:rPr>
                <w:sz w:val="20"/>
                <w:szCs w:val="20"/>
              </w:rPr>
              <w:t xml:space="preserve">Quick tip a lot of students miss: every good prompt needs Role + Context + Format. Try it on ChatGPT today.</w:t>
            </w:r>
          </w:p>
          <w:p>
            <w:pPr>
              <w:spacing w:after="80"/>
            </w:pPr>
            <w:r>
              <w:rPr>
                <w:sz w:val="20"/>
                <w:szCs w:val="20"/>
              </w:rPr>
              <w:t xml:space="preserve">If you’re enjoying the free course, the Complete AI Bootcamp goes much deeper — MidJourney, AI agents, building &amp; selling products.</w:t>
            </w:r>
          </w:p>
          <w:p>
            <w:pPr>
              <w:spacing w:after="80"/>
            </w:pPr>
            <w:r>
              <w:rPr>
                <w:sz w:val="20"/>
                <w:szCs w:val="20"/>
              </w:rPr>
              <w:t xml:space="preserve">It’s normally 4999 PKR. I can share a special enrolment price — want me to send the details?</w:t>
            </w:r>
          </w:p>
        </w:tc>
      </w:tr>
    </w:tbl>
    <w:p>
      <w:pPr>
        <w:spacing w:after="120"/>
      </w:pPr>
      <w:r>
        <w:rPr>
          <w:i/>
          <w:iCs/>
          <w:color w:val="555555"/>
          <w:sz w:val="18"/>
          <w:szCs w:val="18"/>
        </w:rPr>
        <w:t xml:space="preserve">Goal: give a usable win, then ask permission to pitch. A “yes” primes the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B6A6" w:val="clear"/>
            <w:tcMar>
              <w:top w:type="dxa" w:w="80"/>
              <w:left w:type="dxa" w:w="140"/>
              <w:bottom w:type="dxa" w:w="80"/>
              <w:right w:type="dxa" w:w="140"/>
            </w:tcMar>
          </w:tcPr>
          <w:p>
            <w:r>
              <w:rPr>
                <w:b/>
                <w:bCs/>
                <w:color w:val="FFFFFF"/>
                <w:sz w:val="22"/>
                <w:szCs w:val="22"/>
              </w:rPr>
              <w:t xml:space="preserve">Message 3 — The Offer (TEMPLATE)</w:t>
            </w:r>
            <w:r>
              <w:rPr>
                <w:i/>
                <w:iCs/>
                <w:color w:val="E6FFFB"/>
                <w:sz w:val="18"/>
                <w:szCs w:val="18"/>
              </w:rPr>
              <w:t xml:space="preserve">   Day 2 — requires approved template</w:t>
            </w:r>
          </w:p>
        </w:tc>
      </w:tr>
      <w:tr>
        <w:tc>
          <w:tcPr>
            <w:tcW w:type="dxa" w:w="9360"/>
            <w:tcBorders>
              <w:top w:val="single" w:color="CCCCCC" w:sz="1"/>
              <w:left w:val="single" w:color="CCCCCC" w:sz="1"/>
              <w:bottom w:val="single" w:color="CCCCCC" w:sz="1"/>
              <w:right w:val="single" w:color="CCCCCC" w:sz="1"/>
            </w:tcBorders>
            <w:shd w:fill="F4FBFA" w:val="clear"/>
            <w:tcMar>
              <w:top w:type="dxa" w:w="100"/>
              <w:left w:type="dxa" w:w="140"/>
              <w:bottom w:type="dxa" w:w="100"/>
              <w:right w:type="dxa" w:w="140"/>
            </w:tcMar>
          </w:tcPr>
          <w:p>
            <w:pPr>
              <w:spacing w:after="80"/>
            </w:pPr>
            <w:r>
              <w:rPr>
                <w:sz w:val="20"/>
                <w:szCs w:val="20"/>
              </w:rPr>
              <w:t xml:space="preserve">{name}, here’s the enrolment offer I mentioned 👇</w:t>
            </w:r>
          </w:p>
          <w:p>
            <w:pPr>
              <w:spacing w:after="80"/>
            </w:pPr>
            <w:r>
              <w:rPr>
                <w:sz w:val="20"/>
                <w:szCs w:val="20"/>
              </w:rPr>
              <w:t xml:space="preserve">Complete AI Bootcamp — 25+ hours, 97+ lessons, 2000+ prompts, certificate, lifetime access.</w:t>
            </w:r>
          </w:p>
          <w:p>
            <w:pPr>
              <w:spacing w:after="80"/>
            </w:pPr>
            <w:r>
              <w:rPr>
                <w:sz w:val="20"/>
                <w:szCs w:val="20"/>
              </w:rPr>
              <w:t xml:space="preserve">Price: ~~4999~~ → 999 PKR (80% off)</w:t>
            </w:r>
          </w:p>
          <w:p>
            <w:pPr>
              <w:spacing w:after="80"/>
            </w:pPr>
            <w:r>
              <w:rPr>
                <w:sz w:val="20"/>
                <w:szCs w:val="20"/>
              </w:rPr>
              <w:t xml:space="preserve">This price is open until tomorrow night. Pay with JazzCash/Easypaisa:</w:t>
            </w:r>
          </w:p>
          <w:p>
            <w:pPr>
              <w:spacing w:after="80"/>
            </w:pPr>
            <w:r>
              <w:rPr>
                <w:sz w:val="20"/>
                <w:szCs w:val="20"/>
              </w:rPr>
              <w:t xml:space="preserve">👉 {payment_link}</w:t>
            </w:r>
          </w:p>
          <w:p>
            <w:pPr>
              <w:spacing w:after="80"/>
            </w:pPr>
            <w:r>
              <w:rPr>
                <w:sz w:val="20"/>
                <w:szCs w:val="20"/>
              </w:rPr>
              <w:t xml:space="preserve">Reply if you’d like me to walk you through it.</w:t>
            </w:r>
          </w:p>
        </w:tc>
      </w:tr>
    </w:tbl>
    <w:p>
      <w:pPr>
        <w:spacing w:after="120"/>
      </w:pPr>
      <w:r>
        <w:rPr>
          <w:i/>
          <w:iCs/>
          <w:color w:val="555555"/>
          <w:sz w:val="18"/>
          <w:szCs w:val="18"/>
        </w:rPr>
        <w:t xml:space="preserve">Template note: submit this for approval as a marketing template with {name}, {payment_link} variables. Anchor (4999) + discount + deadline do the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B6A6" w:val="clear"/>
            <w:tcMar>
              <w:top w:type="dxa" w:w="80"/>
              <w:left w:type="dxa" w:w="140"/>
              <w:bottom w:type="dxa" w:w="80"/>
              <w:right w:type="dxa" w:w="140"/>
            </w:tcMar>
          </w:tcPr>
          <w:p>
            <w:r>
              <w:rPr>
                <w:b/>
                <w:bCs/>
                <w:color w:val="FFFFFF"/>
                <w:sz w:val="22"/>
                <w:szCs w:val="22"/>
              </w:rPr>
              <w:t xml:space="preserve">Message 4 — Last Call (TEMPLATE)</w:t>
            </w:r>
            <w:r>
              <w:rPr>
                <w:i/>
                <w:iCs/>
                <w:color w:val="E6FFFB"/>
                <w:sz w:val="18"/>
                <w:szCs w:val="18"/>
              </w:rPr>
              <w:t xml:space="preserve">   Day 3 — requires approved template</w:t>
            </w:r>
          </w:p>
        </w:tc>
      </w:tr>
      <w:tr>
        <w:tc>
          <w:tcPr>
            <w:tcW w:type="dxa" w:w="9360"/>
            <w:tcBorders>
              <w:top w:val="single" w:color="CCCCCC" w:sz="1"/>
              <w:left w:val="single" w:color="CCCCCC" w:sz="1"/>
              <w:bottom w:val="single" w:color="CCCCCC" w:sz="1"/>
              <w:right w:val="single" w:color="CCCCCC" w:sz="1"/>
            </w:tcBorders>
            <w:shd w:fill="F4FBFA" w:val="clear"/>
            <w:tcMar>
              <w:top w:type="dxa" w:w="100"/>
              <w:left w:type="dxa" w:w="140"/>
              <w:bottom w:type="dxa" w:w="100"/>
              <w:right w:type="dxa" w:w="140"/>
            </w:tcMar>
          </w:tcPr>
          <w:p>
            <w:pPr>
              <w:spacing w:after="80"/>
            </w:pPr>
            <w:r>
              <w:rPr>
                <w:sz w:val="20"/>
                <w:szCs w:val="20"/>
              </w:rPr>
              <w:t xml:space="preserve">Last call, {name} — the 999 PKR price closes tonight.</w:t>
            </w:r>
          </w:p>
          <w:p>
            <w:pPr>
              <w:spacing w:after="80"/>
            </w:pPr>
            <w:r>
              <w:rPr>
                <w:sz w:val="20"/>
                <w:szCs w:val="20"/>
              </w:rPr>
              <w:t xml:space="preserve">After this it goes back to 4999.</w:t>
            </w:r>
          </w:p>
          <w:p>
            <w:pPr>
              <w:spacing w:after="80"/>
            </w:pPr>
            <w:r>
              <w:rPr>
                <w:sz w:val="20"/>
                <w:szCs w:val="20"/>
              </w:rPr>
              <w:t xml:space="preserve">30-day money-back guarantee, so there’s no risk.</w:t>
            </w:r>
          </w:p>
          <w:p>
            <w:pPr>
              <w:spacing w:after="80"/>
            </w:pPr>
            <w:r>
              <w:rPr>
                <w:sz w:val="20"/>
                <w:szCs w:val="20"/>
              </w:rPr>
              <w:t xml:space="preserve">Enrol here 👉 {payment_link}</w:t>
            </w:r>
          </w:p>
          <w:p>
            <w:pPr>
              <w:spacing w:after="80"/>
            </w:pPr>
            <w:r>
              <w:rPr>
                <w:sz w:val="20"/>
                <w:szCs w:val="20"/>
              </w:rPr>
              <w:t xml:space="preserve">Need help paying? Just reply and I’ll guide you.</w:t>
            </w:r>
          </w:p>
        </w:tc>
      </w:tr>
    </w:tbl>
    <w:p>
      <w:pPr>
        <w:spacing w:after="120"/>
      </w:pPr>
      <w:r>
        <w:rPr>
          <w:i/>
          <w:iCs/>
          <w:color w:val="555555"/>
          <w:sz w:val="18"/>
          <w:szCs w:val="18"/>
        </w:rPr>
        <w:t xml:space="preserve">Goal: urgency + risk-reversal (money-back). This message drives the bulk of conversions in most PK funnels.</w:t>
      </w:r>
    </w:p>
    <w:p>
      <w:pPr>
        <w:pStyle w:val="Heading1"/>
      </w:pPr>
      <w:r>
        <w:t xml:space="preserve">5. Timing &amp; Compliance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80"/>
        <w:gridCol w:w="2680"/>
      </w:tblGrid>
      <w:tr>
        <w:trPr>
          <w:tblHeader/>
        </w:trPr>
        <w:tc>
          <w:tcPr>
            <w:tcW w:type="dxa" w:w="14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tcPr>
          <w:p>
            <w:r>
              <w:rPr>
                <w:b/>
                <w:bCs/>
                <w:color w:val="FFFFFF"/>
                <w:sz w:val="20"/>
                <w:szCs w:val="20"/>
              </w:rPr>
              <w:t xml:space="preserve">Message</w:t>
            </w:r>
          </w:p>
        </w:tc>
        <w:tc>
          <w:tcPr>
            <w:tcW w:type="dxa" w:w="26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tcPr>
          <w:p>
            <w:r>
              <w:rPr>
                <w:b/>
                <w:bCs/>
                <w:color w:val="FFFFFF"/>
                <w:sz w:val="20"/>
                <w:szCs w:val="20"/>
              </w:rPr>
              <w:t xml:space="preserve">When</w:t>
            </w:r>
          </w:p>
        </w:tc>
        <w:tc>
          <w:tcPr>
            <w:tcW w:type="dxa" w:w="26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tcPr>
          <w:p>
            <w:r>
              <w:rPr>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tcPr>
          <w:p>
            <w:r>
              <w:rPr>
                <w:b/>
                <w:bCs/>
                <w:color w:val="FFFFFF"/>
                <w:sz w:val="20"/>
                <w:szCs w:val="20"/>
              </w:rPr>
              <w:t xml:space="preserve">Job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Instant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Free-form</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Deliver free course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+5–15 min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Free-form</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Activate + proof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 few hours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Free-form</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Value + soft offer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Day 2</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Template (approved)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999 offer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Day 3</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Template (approved)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Last-call urgency</w:t>
            </w:r>
          </w:p>
        </w:tc>
      </w:tr>
    </w:tbl>
    <w:p>
      <w:pPr>
        <w:pStyle w:val="Heading1"/>
      </w:pPr>
      <w:r>
        <w:t xml:space="preserve">6. Don't Automate the Close — Yet</w:t>
      </w:r>
    </w:p>
    <w:p>
      <w:pPr>
        <w:spacing w:after="120"/>
      </w:pPr>
      <w:r>
        <w:t xml:space="preserve">For your first ~20–30 sales, handle the final conversation manually in WhatsApp. You'll surface the real objections — “Is the certificate real?”, “Can I pay in instalments?”, “Is it in Urdu?” — and bake those answers into the automated templates afterward. Automating before you know the objections just scales a script that doesn't convert.</w:t>
      </w:r>
    </w:p>
    <w:p>
      <w:pPr>
        <w:spacing w:after="120"/>
      </w:pPr>
      <w:r>
        <w:rPr>
          <w:b/>
          <w:bCs/>
        </w:rPr>
        <w:t xml:space="preserve">Sequence of operations:</w:t>
      </w:r>
    </w:p>
    <w:p>
      <w:pPr>
        <w:pStyle w:val="ListParagraph"/>
        <w:numPr>
          <w:ilvl w:val="0"/>
          <w:numId w:val="3"/>
        </w:numPr>
        <w:spacing w:after="60"/>
      </w:pPr>
      <w:r>
        <w:t xml:space="preserve">Fix the website (privacy/terms, real testimonials, your photo, pixel)</w:t>
      </w:r>
    </w:p>
    <w:p>
      <w:pPr>
        <w:pStyle w:val="ListParagraph"/>
        <w:numPr>
          <w:ilvl w:val="0"/>
          <w:numId w:val="3"/>
        </w:numPr>
        <w:spacing w:after="60"/>
      </w:pPr>
      <w:r>
        <w:t xml:space="preserve">Build the free-course landing page + form capture</w:t>
      </w:r>
    </w:p>
    <w:p>
      <w:pPr>
        <w:pStyle w:val="ListParagraph"/>
        <w:numPr>
          <w:ilvl w:val="0"/>
          <w:numId w:val="3"/>
        </w:numPr>
        <w:spacing w:after="60"/>
      </w:pPr>
      <w:r>
        <w:t xml:space="preserve">Wire WhatsApp Business API provider + payment links</w:t>
      </w:r>
    </w:p>
    <w:p>
      <w:pPr>
        <w:pStyle w:val="ListParagraph"/>
        <w:numPr>
          <w:ilvl w:val="0"/>
          <w:numId w:val="3"/>
        </w:numPr>
        <w:spacing w:after="60"/>
      </w:pPr>
      <w:r>
        <w:t xml:space="preserve">Run a small Click-to-WhatsApp test; close first sales manually</w:t>
      </w:r>
    </w:p>
    <w:p>
      <w:pPr>
        <w:pStyle w:val="ListParagraph"/>
        <w:numPr>
          <w:ilvl w:val="0"/>
          <w:numId w:val="3"/>
        </w:numPr>
        <w:spacing w:after="60"/>
      </w:pPr>
      <w:r>
        <w:t xml:space="preserve">Codify winning answers into approved templates</w:t>
      </w:r>
    </w:p>
    <w:p>
      <w:pPr>
        <w:pStyle w:val="ListParagraph"/>
        <w:numPr>
          <w:ilvl w:val="0"/>
          <w:numId w:val="3"/>
        </w:numPr>
        <w:spacing w:after="60"/>
      </w:pPr>
      <w:r>
        <w:t xml:space="preserve">Then automate messages 3–4 and scale ad spend</w:t>
      </w:r>
    </w:p>
    <w:p>
      <w:pPr>
        <w:pStyle w:val="Heading1"/>
      </w:pPr>
      <w:r>
        <w:t xml:space="preserve">7. A Note on Email</w:t>
      </w:r>
    </w:p>
    <w:p>
      <w:pPr>
        <w:spacing w:after="120"/>
      </w:pPr>
      <w:r>
        <w:t xml:space="preserve">You're still capturing email at signup — keep doing that. Even if open rates are low in PK, email costs nothing to collect and gives you a second, free channel for re-engagement, a backup if a WhatsApp number gets restricted, and an asset you own outright (WhatsApp access can be revoked by Meta). Treat WhatsApp as the primary conversion channel and email as the owned backup, not the reverse.</w:t>
      </w:r>
    </w:p>
    <w:p>
      <w:pPr>
        <w:pBdr>
          <w:top w:val="single" w:color="1FB6A6" w:sz="6" w:space="4"/>
        </w:pBdr>
        <w:spacing w:before="240"/>
      </w:pPr>
      <w:r>
        <w:rPr>
          <w:i/>
          <w:iCs/>
          <w:color w:val="555555"/>
          <w:sz w:val="20"/>
          <w:szCs w:val="20"/>
        </w:rPr>
        <w:t xml:space="preserve">Next deliverable available on request: the free-course landing page (HTML), and the Roman-Urdu versions of all five messages.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SeekhoAI — WhatsApp Funnel Playbook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A0E1A"/>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1FB6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2026-05-31T06:15:35.583Z</dcterms:created>
  <dcterms:modified xsi:type="dcterms:W3CDTF">2026-05-31T06:15:35.583Z</dcterms:modified>
</cp:coreProperties>
</file>

<file path=docProps/custom.xml><?xml version="1.0" encoding="utf-8"?>
<Properties xmlns="http://schemas.openxmlformats.org/officeDocument/2006/custom-properties" xmlns:vt="http://schemas.openxmlformats.org/officeDocument/2006/docPropsVTypes"/>
</file>