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5C99"/>
          <w:sz w:val="48"/>
          <w:szCs w:val="48"/>
        </w:rPr>
        <w:t xml:space="preserve">Project Workplan</w:t>
      </w:r>
    </w:p>
    <w:p>
      <w:pPr>
        <w:spacing w:after="80" w:before="0"/>
        <w:jc w:val="center"/>
      </w:pPr>
      <w:r>
        <w:rPr>
          <w:color w:val="444444"/>
          <w:sz w:val="24"/>
          <w:szCs w:val="24"/>
        </w:rPr>
        <w:t xml:space="preserve">Environmental and Geospatial Data Science Capstone</w:t>
      </w:r>
    </w:p>
    <w:p>
      <w:pPr>
        <w:spacing w:after="400" w:before="0"/>
        <w:jc w:val="center"/>
      </w:pPr>
      <w:r>
        <w:rPr>
          <w:color w:val="666666"/>
          <w:sz w:val="22"/>
          <w:szCs w:val="22"/>
        </w:rPr>
        <w:t xml:space="preserve">Industry Partner: NOAA-EPIC  •  Date: June 5, 2026</w:t>
      </w:r>
    </w:p>
    <w:p>
      <w:pPr>
        <w:pStyle w:val="Heading1"/>
        <w:pBdr>
          <w:bottom w:val="single" w:color="1F5C99" w:sz="6" w:space="1"/>
        </w:pBdr>
        <w:spacing w:after="160" w:before="320"/>
      </w:pPr>
      <w:r>
        <w:rPr>
          <w:b/>
          <w:bCs/>
          <w:color w:val="1F5C99"/>
          <w:sz w:val="28"/>
          <w:szCs w:val="28"/>
        </w:rPr>
        <w:t xml:space="preserve">1. Project Summary</w:t>
      </w:r>
    </w:p>
    <w:p>
      <w:pPr>
        <w:pStyle w:val="Heading2"/>
        <w:spacing w:after="120" w:before="240"/>
      </w:pPr>
      <w:r>
        <w:rPr>
          <w:b/>
          <w:bCs/>
          <w:color w:val="2E75B6"/>
          <w:sz w:val="24"/>
          <w:szCs w:val="24"/>
        </w:rPr>
        <w:t xml:space="preserve">What question are you answering?</w:t>
      </w:r>
    </w:p>
    <w:p>
      <w:pPr>
        <w:spacing w:after="80" w:before="80"/>
      </w:pPr>
      <w:r>
        <w:rPr>
          <w:sz w:val="22"/>
          <w:szCs w:val="22"/>
        </w:rPr>
        <w:t xml:space="preserve">Can the UFS Short Range Weather (SRW) Application simulate a high-impact convective event — the August 10, 2020 derecho — in a way that is both scientifically meaningful and accessible to new users? More specifically: how do different model physics suites and grid resolutions affect forecast quality for this event, and can this process be documented and presented in a way that makes UFS-based weather modeling approachable for college students and broader audiences?</w:t>
      </w:r>
    </w:p>
    <w:p>
      <w:pPr>
        <w:spacing w:after="80" w:before="80"/>
      </w:pPr>
      <w:r>
        <w:t xml:space="preserve"/>
      </w:r>
    </w:p>
    <w:p>
      <w:pPr>
        <w:pStyle w:val="Heading2"/>
        <w:spacing w:after="120" w:before="240"/>
      </w:pPr>
      <w:r>
        <w:rPr>
          <w:b/>
          <w:bCs/>
          <w:color w:val="2E75B6"/>
          <w:sz w:val="24"/>
          <w:szCs w:val="24"/>
        </w:rPr>
        <w:t xml:space="preserve">Who is your partner and what do they need?</w:t>
      </w:r>
    </w:p>
    <w:p>
      <w:pPr>
        <w:spacing w:after="80" w:before="80"/>
      </w:pPr>
      <w:r>
        <w:rPr>
          <w:sz w:val="22"/>
          <w:szCs w:val="22"/>
        </w:rPr>
        <w:t xml:space="preserve">NOAA-EPIC (Environmental Program for Innovation Competency) develops and maintains UFS tools and educational resources. They need honest, user-perspective feedback on the tutorial’s usability and accessibility, as well as a demonstration that the tutorial produces compelling, interpretable results. This project will contribute to their ongoing efforts to expand UFS community use and outreach.</w:t>
      </w:r>
    </w:p>
    <w:p>
      <w:pPr>
        <w:spacing w:after="80" w:before="80"/>
      </w:pPr>
      <w:r>
        <w:t xml:space="preserve"/>
      </w:r>
    </w:p>
    <w:p>
      <w:pPr>
        <w:pStyle w:val="Heading2"/>
        <w:spacing w:after="120" w:before="240"/>
      </w:pPr>
      <w:r>
        <w:rPr>
          <w:b/>
          <w:bCs/>
          <w:color w:val="2E75B6"/>
          <w:sz w:val="24"/>
          <w:szCs w:val="24"/>
        </w:rPr>
        <w:t xml:space="preserve">What does success look like?</w:t>
      </w:r>
    </w:p>
    <w:p>
      <w:pPr>
        <w:spacing w:after="80" w:before="80"/>
      </w:pPr>
      <w:r>
        <w:rPr>
          <w:sz w:val="22"/>
          <w:szCs w:val="22"/>
        </w:rPr>
        <w:t xml:space="preserve">A successful outcome includes:</w:t>
      </w:r>
    </w:p>
    <w:p>
      <w:pPr>
        <w:pStyle w:val="ListParagraph"/>
        <w:numPr>
          <w:ilvl w:val="0"/>
          <w:numId w:val="2"/>
        </w:numPr>
        <w:spacing w:after="60" w:before="60"/>
      </w:pPr>
      <w:r>
        <w:rPr>
          <w:sz w:val="22"/>
          <w:szCs w:val="22"/>
        </w:rPr>
        <w:t xml:space="preserve">All four tutorial test cases completed and producing output</w:t>
      </w:r>
    </w:p>
    <w:p>
      <w:pPr>
        <w:pStyle w:val="ListParagraph"/>
        <w:numPr>
          <w:ilvl w:val="0"/>
          <w:numId w:val="2"/>
        </w:numPr>
        <w:spacing w:after="60" w:before="60"/>
      </w:pPr>
      <w:r>
        <w:rPr>
          <w:sz w:val="22"/>
          <w:szCs w:val="22"/>
        </w:rPr>
        <w:t xml:space="preserve">A polished Jupyter notebook with visualizations comparing model output across configurations, centered on 10m wind speed at Cedar Rapids, Iowa</w:t>
      </w:r>
    </w:p>
    <w:p>
      <w:pPr>
        <w:pStyle w:val="ListParagraph"/>
        <w:numPr>
          <w:ilvl w:val="0"/>
          <w:numId w:val="2"/>
        </w:numPr>
        <w:spacing w:after="60" w:before="60"/>
      </w:pPr>
      <w:r>
        <w:rPr>
          <w:sz w:val="22"/>
          <w:szCs w:val="22"/>
        </w:rPr>
        <w:t xml:space="preserve">A clean, public-facing GitHub portfolio that could serve as a model for how students document UFS work</w:t>
      </w:r>
    </w:p>
    <w:p>
      <w:pPr>
        <w:pStyle w:val="ListParagraph"/>
        <w:numPr>
          <w:ilvl w:val="0"/>
          <w:numId w:val="2"/>
        </w:numPr>
        <w:spacing w:after="60" w:before="60"/>
      </w:pPr>
      <w:r>
        <w:rPr>
          <w:sz w:val="22"/>
          <w:szCs w:val="22"/>
        </w:rPr>
        <w:t xml:space="preserve">A final presentation that connects technical model runs to real-world weather outcomes in a way that is accessible to a general technical audience</w:t>
      </w:r>
    </w:p>
    <w:p>
      <w:pPr>
        <w:spacing w:after="80" w:before="80"/>
      </w:pPr>
      <w:r>
        <w:t xml:space="preserve"/>
      </w:r>
    </w:p>
    <w:p>
      <w:pPr>
        <w:pStyle w:val="Heading1"/>
        <w:pBdr>
          <w:bottom w:val="single" w:color="1F5C99" w:sz="6" w:space="1"/>
        </w:pBdr>
        <w:spacing w:after="160" w:before="320"/>
      </w:pPr>
      <w:r>
        <w:rPr>
          <w:b/>
          <w:bCs/>
          <w:color w:val="1F5C99"/>
          <w:sz w:val="28"/>
          <w:szCs w:val="28"/>
        </w:rPr>
        <w:t xml:space="preserve">2. Data Plan</w:t>
      </w:r>
    </w:p>
    <w:p>
      <w:pPr>
        <w:pStyle w:val="Heading2"/>
        <w:spacing w:after="120" w:before="240"/>
      </w:pPr>
      <w:r>
        <w:rPr>
          <w:b/>
          <w:bCs/>
          <w:color w:val="2E75B6"/>
          <w:sz w:val="24"/>
          <w:szCs w:val="24"/>
        </w:rPr>
        <w:t xml:space="preserve">What data sources will you use?</w:t>
      </w:r>
    </w:p>
    <w:p>
      <w:pPr>
        <w:pStyle w:val="ListParagraph"/>
        <w:numPr>
          <w:ilvl w:val="0"/>
          <w:numId w:val="2"/>
        </w:numPr>
        <w:spacing w:after="60" w:before="60"/>
      </w:pPr>
      <w:r>
        <w:rPr>
          <w:b/>
          <w:bCs/>
          <w:sz w:val="22"/>
          <w:szCs w:val="22"/>
        </w:rPr>
        <w:t xml:space="preserve">Pre-staged HRRR (High Resolution Rapid Refresh) analysis files for August 10, 2020, serving as both initial conditions (ICS) and lateral boundary conditions (LBCS) for the SRW simulations. Files are in GRIB2 format.</w:t>
      </w:r>
      <w:r>
        <w:rPr>
          <w:sz w:val="22"/>
          <w:szCs w:val="22"/>
        </w:rPr>
        <w:t xml:space="preserve">Model Input Data: </w:t>
      </w:r>
    </w:p>
    <w:p>
      <w:pPr>
        <w:pStyle w:val="ListParagraph"/>
        <w:numPr>
          <w:ilvl w:val="0"/>
          <w:numId w:val="2"/>
        </w:numPr>
        <w:spacing w:after="60" w:before="60"/>
      </w:pPr>
      <w:r>
        <w:rPr>
          <w:b/>
          <w:bCs/>
          <w:sz w:val="22"/>
          <w:szCs w:val="22"/>
        </w:rPr>
        <w:t xml:space="preserve">GRIB2 output files generated by the SRW App workflow for each of the four test cases, plus PNG plots auto-generated by the Unified Post Processor (UPP).</w:t>
      </w:r>
      <w:r>
        <w:rPr>
          <w:sz w:val="22"/>
          <w:szCs w:val="22"/>
        </w:rPr>
        <w:t xml:space="preserve">Model Output Data: </w:t>
      </w:r>
    </w:p>
    <w:p>
      <w:pPr>
        <w:pStyle w:val="ListParagraph"/>
        <w:numPr>
          <w:ilvl w:val="0"/>
          <w:numId w:val="2"/>
        </w:numPr>
        <w:spacing w:after="60" w:before="60"/>
      </w:pPr>
      <w:r>
        <w:rPr>
          <w:b/>
          <w:bCs/>
          <w:sz w:val="22"/>
          <w:szCs w:val="22"/>
        </w:rPr>
        <w:t xml:space="preserve">Archived radar imagery and Storm Prediction Center outlooks from August 10, 2020, used for qualitative model verification.</w:t>
      </w:r>
      <w:r>
        <w:rPr>
          <w:sz w:val="22"/>
          <w:szCs w:val="22"/>
        </w:rPr>
        <w:t xml:space="preserve">Observational Reference: </w:t>
      </w:r>
    </w:p>
    <w:p>
      <w:pPr>
        <w:spacing w:after="80" w:before="80"/>
      </w:pPr>
      <w:r>
        <w:t xml:space="preserve"/>
      </w:r>
    </w:p>
    <w:p>
      <w:pPr>
        <w:pStyle w:val="Heading2"/>
        <w:spacing w:after="120" w:before="240"/>
      </w:pPr>
      <w:r>
        <w:rPr>
          <w:b/>
          <w:bCs/>
          <w:color w:val="2E75B6"/>
          <w:sz w:val="24"/>
          <w:szCs w:val="24"/>
        </w:rPr>
        <w:t xml:space="preserve">Where will you get the data, and do you have access?</w:t>
      </w:r>
    </w:p>
    <w:p>
      <w:pPr>
        <w:spacing w:after="80" w:before="80"/>
      </w:pPr>
      <w:r>
        <w:rPr>
          <w:sz w:val="22"/>
          <w:szCs w:val="22"/>
        </w:rPr>
        <w:t xml:space="preserve">The HRRR input files are already pre-staged on the Hercules HPC system at /work2/noaa/epic/rowins-input — no external data acquisition is needed. Archived radar and SPC data are publicly available through NOAA’s online archives. HPC access is fully configured.</w:t>
      </w:r>
    </w:p>
    <w:p>
      <w:pPr>
        <w:spacing w:after="80" w:before="80"/>
      </w:pPr>
      <w:r>
        <w:t xml:space="preserve"/>
      </w:r>
    </w:p>
    <w:p>
      <w:pPr>
        <w:pStyle w:val="Heading2"/>
        <w:spacing w:after="120" w:before="240"/>
      </w:pPr>
      <w:r>
        <w:rPr>
          <w:b/>
          <w:bCs/>
          <w:color w:val="2E75B6"/>
          <w:sz w:val="24"/>
          <w:szCs w:val="24"/>
        </w:rPr>
        <w:t xml:space="preserve">Known gaps or data quality concerns?</w:t>
      </w:r>
    </w:p>
    <w:p>
      <w:pPr>
        <w:spacing w:after="80" w:before="80"/>
      </w:pPr>
      <w:r>
        <w:rPr>
          <w:sz w:val="22"/>
          <w:szCs w:val="22"/>
        </w:rPr>
        <w:t xml:space="preserve">The primary constraint is storage availability on the shared EPIC allocation, which requires at least 150GB of free space. This will be verified at the start of Week 2 before any model runs are attempted. No data quality concerns are anticipated for the pre-staged HRRR input, as it was prepared specifically for this tutorial.</w:t>
      </w:r>
    </w:p>
    <w:p>
      <w:pPr>
        <w:spacing w:after="80" w:before="80"/>
      </w:pPr>
      <w:r>
        <w:t xml:space="preserve"/>
      </w:r>
    </w:p>
    <w:p>
      <w:pPr>
        <w:pStyle w:val="Heading1"/>
        <w:pBdr>
          <w:bottom w:val="single" w:color="1F5C99" w:sz="6" w:space="1"/>
        </w:pBdr>
        <w:spacing w:after="160" w:before="320"/>
      </w:pPr>
      <w:r>
        <w:rPr>
          <w:b/>
          <w:bCs/>
          <w:color w:val="1F5C99"/>
          <w:sz w:val="28"/>
          <w:szCs w:val="28"/>
        </w:rPr>
        <w:t xml:space="preserve">3. Preliminary Methods Plan</w:t>
      </w:r>
    </w:p>
    <w:p>
      <w:pPr>
        <w:pStyle w:val="Heading2"/>
        <w:spacing w:after="120" w:before="240"/>
      </w:pPr>
      <w:r>
        <w:rPr>
          <w:b/>
          <w:bCs/>
          <w:color w:val="2E75B6"/>
          <w:sz w:val="24"/>
          <w:szCs w:val="24"/>
        </w:rPr>
        <w:t xml:space="preserve">Analytical approach</w:t>
      </w:r>
    </w:p>
    <w:p>
      <w:pPr>
        <w:spacing w:after="80" w:before="80"/>
      </w:pPr>
      <w:r>
        <w:rPr>
          <w:sz w:val="22"/>
          <w:szCs w:val="22"/>
        </w:rPr>
        <w:t xml:space="preserve">The primary analytical approach is simulation-based model evaluation: running the SRW App workflow under four distinct configurations and evaluating how well each simulates the August 10, 2020 derecho. The four configurations vary along two dimensions — physics suite (GFSv16 vs. RRFS_v1beta) and grid resolution (25km vs. 13km) — creating a natural 2x2 comparison structure.</w:t>
      </w:r>
    </w:p>
    <w:p>
      <w:pPr>
        <w:spacing w:after="80" w:before="80"/>
      </w:pPr>
      <w:r>
        <w:t xml:space="preserve"/>
      </w:r>
    </w:p>
    <w:p>
      <w:pPr>
        <w:pStyle w:val="Heading2"/>
        <w:spacing w:after="120" w:before="240"/>
      </w:pPr>
      <w:r>
        <w:rPr>
          <w:b/>
          <w:bCs/>
          <w:color w:val="2E75B6"/>
          <w:sz w:val="24"/>
          <w:szCs w:val="24"/>
        </w:rPr>
        <w:t xml:space="preserve">Why this approach makes sense</w:t>
      </w:r>
    </w:p>
    <w:p>
      <w:pPr>
        <w:spacing w:after="80" w:before="80"/>
      </w:pPr>
      <w:r>
        <w:rPr>
          <w:sz w:val="22"/>
          <w:szCs w:val="22"/>
        </w:rPr>
        <w:t xml:space="preserve">The August 10, 2020 derecho is a well-documented event with archived observational data, making it well-suited for model verification. The event was notably under-forecast in real time, which makes the intercomparison scientifically interesting: does higher resolution improve the simulation? Do different physics packages capture the storm differently? These questions give the analysis structure beyond simply running the tutorial.</w:t>
      </w:r>
    </w:p>
    <w:p>
      <w:pPr>
        <w:spacing w:after="80" w:before="80"/>
      </w:pPr>
      <w:r>
        <w:t xml:space="preserve"/>
      </w:r>
    </w:p>
    <w:p>
      <w:pPr>
        <w:pStyle w:val="Heading2"/>
        <w:spacing w:after="120" w:before="240"/>
      </w:pPr>
      <w:r>
        <w:rPr>
          <w:b/>
          <w:bCs/>
          <w:color w:val="2E75B6"/>
          <w:sz w:val="24"/>
          <w:szCs w:val="24"/>
        </w:rPr>
        <w:t xml:space="preserve">Jupyter Notebook Plan</w:t>
      </w:r>
    </w:p>
    <w:p>
      <w:pPr>
        <w:spacing w:after="80" w:before="80"/>
      </w:pPr>
      <w:r>
        <w:rPr>
          <w:sz w:val="22"/>
          <w:szCs w:val="22"/>
        </w:rPr>
        <w:t xml:space="preserve">The notebook will tell a four-part story:</w:t>
      </w:r>
    </w:p>
    <w:p>
      <w:pPr>
        <w:pStyle w:val="ListParagraph"/>
        <w:numPr>
          <w:ilvl w:val="0"/>
          <w:numId w:val="2"/>
        </w:numPr>
        <w:spacing w:after="60" w:before="60"/>
      </w:pPr>
      <w:r>
        <w:rPr>
          <w:b/>
          <w:bCs/>
          <w:sz w:val="22"/>
          <w:szCs w:val="22"/>
        </w:rPr>
        <w:t xml:space="preserve">A map showing the derecho track and the Cedar Rapids, Iowa location of interest</w:t>
      </w:r>
      <w:r>
        <w:rPr>
          <w:sz w:val="22"/>
          <w:szCs w:val="22"/>
        </w:rPr>
        <w:t xml:space="preserve">Scene-setting: </w:t>
      </w:r>
    </w:p>
    <w:p>
      <w:pPr>
        <w:pStyle w:val="ListParagraph"/>
        <w:numPr>
          <w:ilvl w:val="0"/>
          <w:numId w:val="2"/>
        </w:numPr>
        <w:spacing w:after="60" w:before="60"/>
      </w:pPr>
      <w:r>
        <w:rPr>
          <w:b/>
          <w:bCs/>
          <w:sz w:val="22"/>
          <w:szCs w:val="22"/>
        </w:rPr>
        <w:t xml:space="preserve">10m wind speed at Cedar Rapids across all four model runs on a single plot, showing when each model “sees” the storm arrive and how intense it gets</w:t>
      </w:r>
      <w:r>
        <w:rPr>
          <w:sz w:val="22"/>
          <w:szCs w:val="22"/>
        </w:rPr>
        <w:t xml:space="preserve">Core analysis — Time Series: </w:t>
      </w:r>
    </w:p>
    <w:p>
      <w:pPr>
        <w:pStyle w:val="ListParagraph"/>
        <w:numPr>
          <w:ilvl w:val="0"/>
          <w:numId w:val="2"/>
        </w:numPr>
        <w:spacing w:after="60" w:before="60"/>
      </w:pPr>
      <w:r>
        <w:rPr>
          <w:b/>
          <w:bCs/>
          <w:sz w:val="22"/>
          <w:szCs w:val="22"/>
        </w:rPr>
        <w:t xml:space="preserve">Wind speed difference maps at key forecast hours (e.g., hour 20) comparing physics suites at matched resolution, and resolutions at matched physics</w:t>
      </w:r>
      <w:r>
        <w:rPr>
          <w:sz w:val="22"/>
          <w:szCs w:val="22"/>
        </w:rPr>
        <w:t xml:space="preserve">Spatial analysis — Difference Maps: </w:t>
      </w:r>
    </w:p>
    <w:p>
      <w:pPr>
        <w:pStyle w:val="ListParagraph"/>
        <w:numPr>
          <w:ilvl w:val="0"/>
          <w:numId w:val="2"/>
        </w:numPr>
        <w:spacing w:after="60" w:before="60"/>
      </w:pPr>
      <w:r>
        <w:rPr>
          <w:b/>
          <w:bCs/>
          <w:sz w:val="22"/>
          <w:szCs w:val="22"/>
        </w:rPr>
        <w:t xml:space="preserve">Qualitative comparison to observed 140mph gusts and SPC outlooks via markdown annotation</w:t>
      </w:r>
      <w:r>
        <w:rPr>
          <w:sz w:val="22"/>
          <w:szCs w:val="22"/>
        </w:rPr>
        <w:t xml:space="preserve">Reality check: </w:t>
      </w:r>
    </w:p>
    <w:p>
      <w:pPr>
        <w:spacing w:after="80" w:before="80"/>
      </w:pPr>
      <w:r>
        <w:t xml:space="preserve"/>
      </w:r>
    </w:p>
    <w:p>
      <w:pPr>
        <w:spacing w:after="80" w:before="80"/>
      </w:pPr>
      <w:r>
        <w:rPr>
          <w:sz w:val="22"/>
          <w:szCs w:val="22"/>
        </w:rPr>
        <w:t xml:space="preserve">Python libraries: cfgrib and xarray for GRIB2 reading, matplotlib and cartopy for plotting. Cedar Rapids coordinates (41.97°N, 91.66°W) will be used for nearest-grid-point extraction across all 24 forecast hours per model run.</w:t>
      </w:r>
    </w:p>
    <w:p>
      <w:pPr>
        <w:spacing w:after="80" w:before="80"/>
      </w:pPr>
      <w:r>
        <w:t xml:space="preserve"/>
      </w:r>
    </w:p>
    <w:p>
      <w:pPr>
        <w:pStyle w:val="Heading1"/>
        <w:pBdr>
          <w:bottom w:val="single" w:color="1F5C99" w:sz="6" w:space="1"/>
        </w:pBdr>
        <w:spacing w:after="160" w:before="320"/>
      </w:pPr>
      <w:r>
        <w:rPr>
          <w:b/>
          <w:bCs/>
          <w:color w:val="1F5C99"/>
          <w:sz w:val="28"/>
          <w:szCs w:val="28"/>
        </w:rPr>
        <w:t xml:space="preserve">4. Week-by-Week Timeline</w:t>
      </w:r>
    </w:p>
    <w:p>
      <w:pPr>
        <w:spacing w:after="80" w:before="80"/>
      </w:pPr>
      <w:r>
        <w:t xml:space="preserve"/>
      </w:r>
    </w:p>
    <w:tbl>
      <w:tblPr>
        <w:tblW w:type="dxa" w:w="7820"/>
        <w:tblBorders>
          <w:top w:val="single" w:color="auto" w:sz="4"/>
          <w:left w:val="single" w:color="auto" w:sz="4"/>
          <w:bottom w:val="single" w:color="auto" w:sz="4"/>
          <w:right w:val="single" w:color="auto" w:sz="4"/>
          <w:insideH w:val="single" w:color="auto" w:sz="4"/>
          <w:insideV w:val="single" w:color="auto" w:sz="4"/>
        </w:tblBorders>
      </w:tblPr>
      <w:tblGrid>
        <w:gridCol w:w="720"/>
        <w:gridCol w:w="1400"/>
        <w:gridCol w:w="2200"/>
        <w:gridCol w:w="3500"/>
      </w:tblGrid>
      <w:tr>
        <w:trPr>
          <w:tblHeader/>
        </w:trPr>
        <w:tc>
          <w:tcPr>
            <w:tcW w:type="dxa" w:w="7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Week</w:t>
            </w:r>
          </w:p>
        </w:tc>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Dates</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Focus</w:t>
            </w:r>
          </w:p>
        </w:tc>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Milestone</w:t>
            </w:r>
          </w:p>
        </w:tc>
      </w:tr>
      <w:tr>
        <w:tc>
          <w:tcPr>
            <w:tcW w:type="dxa" w:w="7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1</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June 1–5</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Orient &amp; Plan</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Workplan submitted; GitHub repo initialized; tutorial read in full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June 6–12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 &amp; Setup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SRW environment built on Hercules; 150GB storage confirmed; first test case attempted</w:t>
            </w:r>
          </w:p>
        </w:tc>
      </w:tr>
      <w:tr>
        <w:tc>
          <w:tcPr>
            <w:tcW w:type="dxa" w:w="7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June 13–19</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Run All Four Test Cases</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All four model configurations complete; GRIB2 outputs saved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June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Explore Outputs + cfgrib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 detailed Week 4 plan below</w:t>
            </w:r>
          </w:p>
        </w:tc>
      </w:tr>
      <w:tr>
        <w:tc>
          <w:tcPr>
            <w:tcW w:type="dxa" w:w="7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5</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June 27–July 3</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Build Jupyter Notebook</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Draft notebook: time series + difference maps with narrative structure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July 4–10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Polish Notebook &amp; GitHub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Notebook refined; GitHub repo portfolio-ready</w:t>
            </w:r>
          </w:p>
        </w:tc>
      </w:tr>
      <w:tr>
        <w:tc>
          <w:tcPr>
            <w:tcW w:type="dxa" w:w="7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7</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July 11–17</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Build Presentation</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Slide deck draft complete before industry partner visit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July 18–24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Industry Partner Week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Slides shared with NOAA-EPIC contacts; feedback gathered</w:t>
            </w:r>
          </w:p>
        </w:tc>
      </w:tr>
      <w:tr>
        <w:tc>
          <w:tcPr>
            <w:tcW w:type="dxa" w:w="7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9</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July 25–28</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Final Push</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Final presentation delivered July 28</w:t>
            </w:r>
          </w:p>
        </w:tc>
      </w:tr>
    </w:tbl>
    <w:p>
      <w:pPr>
        <w:spacing w:after="80" w:before="80"/>
      </w:pPr>
      <w:r>
        <w:t xml:space="preserve"/>
      </w:r>
    </w:p>
    <w:p>
      <w:pPr>
        <w:spacing w:after="80" w:before="80"/>
      </w:pPr>
      <w:r>
        <w:t xml:space="preserve"/>
      </w:r>
    </w:p>
    <w:p>
      <w:pPr>
        <w:pStyle w:val="Heading2"/>
        <w:spacing w:after="120" w:before="240"/>
      </w:pPr>
      <w:r>
        <w:rPr>
          <w:b/>
          <w:bCs/>
          <w:color w:val="2E75B6"/>
          <w:sz w:val="24"/>
          <w:szCs w:val="24"/>
        </w:rPr>
        <w:t xml:space="preserve">Week 4 Detailed Plan (June 20–26): GRIB2 Exploration</w:t>
      </w:r>
    </w:p>
    <w:p>
      <w:pPr>
        <w:spacing w:after="80" w:before="80"/>
      </w:pPr>
      <w:r>
        <w:rPr>
          <w:sz w:val="22"/>
          <w:szCs w:val="22"/>
        </w:rPr>
        <w:t xml:space="preserve">Because cfgrib and xarray will be new territory, Week 4 is broken into day-by-day steps to prevent getting stuck:</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Day</w:t>
            </w:r>
          </w:p>
        </w:tc>
        <w:tc>
          <w:tcPr>
            <w:tcW w:type="dxa" w:w="6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Task</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Mon June 20</w:t>
            </w:r>
          </w:p>
        </w:tc>
        <w:tc>
          <w:tcPr>
            <w:tcW w:type="dxa" w:w="6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Install cfgrib and xarray in your Python environment on Hercules or locally. Confirm you can open one GRIB2 output file and print its variable 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Tue June 21</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Extract 10m wind speed from a single forecast hour for one model run. Plot a simple map with cartopy to confirm the data looks right.</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Wed June 22</w:t>
            </w:r>
          </w:p>
        </w:tc>
        <w:tc>
          <w:tcPr>
            <w:tcW w:type="dxa" w:w="6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Write a loop to extract Cedar Rapids wind speed across all 24 forecast hours for one model run. Plot a basic time series.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Thu June 23</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Extend the loop to all four model runs. Plot all four time series on one figure. This is your core notebook figure.</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Fri June 24</w:t>
            </w:r>
          </w:p>
        </w:tc>
        <w:tc>
          <w:tcPr>
            <w:tcW w:type="dxa" w:w="6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Build one difference map: subtract GFSv16 from RRFS_v1beta wind speed at forecast hour 20. Confirm the subtraction logic works spatially.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Sat–Sun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Buffer: troubleshoot anything that didn’t work, or get ahead on notebook structure if everything went smoothly.</w:t>
            </w:r>
          </w:p>
        </w:tc>
      </w:tr>
    </w:tbl>
    <w:p>
      <w:pPr>
        <w:spacing w:after="80" w:before="80"/>
      </w:pPr>
      <w:r>
        <w:t xml:space="preserve"/>
      </w:r>
    </w:p>
    <w:p>
      <w:pPr>
        <w:spacing w:after="80" w:before="80"/>
      </w:pPr>
      <w:r>
        <w:rPr>
          <w:sz w:val="22"/>
          <w:szCs w:val="22"/>
        </w:rPr>
        <w:t xml:space="preserve">Note: If cfgrib installation on Hercules proves difficult, an alternative is to convert GRIB2 files to NetCDF using wgrib2 (available on HPC systems) and use xarray’s native NetCDF reader instead. This is a known fallback and does not change the analysis.</w:t>
      </w:r>
    </w:p>
    <w:p>
      <w:pPr>
        <w:spacing w:after="80" w:before="80"/>
      </w:pPr>
      <w:r>
        <w:t xml:space="preserve"/>
      </w:r>
    </w:p>
    <w:p>
      <w:pPr>
        <w:pStyle w:val="Heading1"/>
        <w:pBdr>
          <w:bottom w:val="single" w:color="1F5C99" w:sz="6" w:space="1"/>
        </w:pBdr>
        <w:spacing w:after="160" w:before="320"/>
      </w:pPr>
      <w:r>
        <w:rPr>
          <w:b/>
          <w:bCs/>
          <w:color w:val="1F5C99"/>
          <w:sz w:val="28"/>
          <w:szCs w:val="28"/>
        </w:rPr>
        <w:t xml:space="preserve">5. Known Risks and Contingencies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1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Risk</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Likelihood</w:t>
            </w:r>
          </w:p>
        </w:tc>
        <w:tc>
          <w:tcPr>
            <w:tcW w:type="dxa" w:w="4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Contingency</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HPC storage insufficient (needs 150GB+)</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Low — pre-staged data already present</w:t>
            </w:r>
          </w:p>
        </w:tc>
        <w:tc>
          <w:tcPr>
            <w:tcW w:type="dxa" w:w="4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Check at start of Week 2; contact support.epic@noaa.gov if allocation is 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run failures (DEAD tasks in Rocoto)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 — common in first runs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Tutorial documents recovery steps; NOAA-EPIC available for direct support; Week 2 buffer built in</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cfgrib installation or GRIB2 reading issues</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Medium — new territory</w:t>
            </w:r>
          </w:p>
        </w:tc>
        <w:tc>
          <w:tcPr>
            <w:tcW w:type="dxa" w:w="4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Fall back to wgrib2 NetCDF conversion; Week 4 day-by-day plan provides early failure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Four test cases take longer than expected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 each is 60–90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Cases 2–4 use cron automation and can run unattended; can overlap with Week 4 exploration</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Scope creep from second storm run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Medium — appealing stretch goal</w:t>
            </w:r>
          </w:p>
        </w:tc>
        <w:tc>
          <w:tcPr>
            <w:tcW w:type="dxa" w:w="4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sz w:val="20"/>
                <w:szCs w:val="20"/>
              </w:rPr>
              <w:t xml:space="preserve">Decision gate at end of Week 4: only pursue if all four primary cases are stable and notebook is on track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Presentation not ready before industry visit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given revised timeline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July 11–17 is internal presentation deadline; July 28 is polish, not build time</w:t>
            </w:r>
          </w:p>
        </w:tc>
      </w:tr>
    </w:tbl>
    <w:p>
      <w:pPr>
        <w:spacing w:after="80" w:before="80"/>
      </w:pPr>
      <w:r>
        <w:t xml:space="preserve"/>
      </w:r>
    </w:p>
    <w:p>
      <w:pPr>
        <w:spacing w:after="80" w:before="80"/>
      </w:pPr>
      <w:r>
        <w:t xml:space="preserve"/>
      </w:r>
    </w:p>
    <w:p>
      <w:pPr>
        <w:pStyle w:val="Heading1"/>
        <w:pBdr>
          <w:bottom w:val="single" w:color="1F5C99" w:sz="6" w:space="1"/>
        </w:pBdr>
        <w:spacing w:after="160" w:before="320"/>
      </w:pPr>
      <w:r>
        <w:rPr>
          <w:b/>
          <w:bCs/>
          <w:color w:val="1F5C99"/>
          <w:sz w:val="28"/>
          <w:szCs w:val="28"/>
        </w:rPr>
        <w:t xml:space="preserve">Resources &amp; Support</w:t>
      </w:r>
    </w:p>
    <w:p>
      <w:pPr>
        <w:pStyle w:val="ListParagraph"/>
        <w:numPr>
          <w:ilvl w:val="0"/>
          <w:numId w:val="2"/>
        </w:numPr>
        <w:spacing w:after="60" w:before="60"/>
      </w:pPr>
      <w:r>
        <w:rPr>
          <w:b/>
          <w:bCs/>
          <w:sz w:val="22"/>
          <w:szCs w:val="22"/>
        </w:rPr>
        <w:t xml:space="preserve">Hercules HPC, MSU-HPC (access configured)</w:t>
      </w:r>
      <w:r>
        <w:rPr>
          <w:sz w:val="22"/>
          <w:szCs w:val="22"/>
        </w:rPr>
        <w:t xml:space="preserve">Computing: </w:t>
      </w:r>
    </w:p>
    <w:p>
      <w:pPr>
        <w:pStyle w:val="ListParagraph"/>
        <w:numPr>
          <w:ilvl w:val="0"/>
          <w:numId w:val="2"/>
        </w:numPr>
        <w:spacing w:after="60" w:before="60"/>
      </w:pPr>
      <w:r>
        <w:rPr>
          <w:b/>
          <w:bCs/>
          <w:sz w:val="22"/>
          <w:szCs w:val="22"/>
        </w:rPr>
        <w:t xml:space="preserve">NOAA-EPIC (direct contact established; support.epic@noaa.gov)</w:t>
      </w:r>
      <w:r>
        <w:rPr>
          <w:sz w:val="22"/>
          <w:szCs w:val="22"/>
        </w:rPr>
        <w:t xml:space="preserve">Industry Partner: </w:t>
      </w:r>
    </w:p>
    <w:p>
      <w:pPr>
        <w:pStyle w:val="ListParagraph"/>
        <w:numPr>
          <w:ilvl w:val="0"/>
          <w:numId w:val="2"/>
        </w:numPr>
        <w:spacing w:after="60" w:before="60"/>
      </w:pPr>
      <w:r>
        <w:rPr>
          <w:b/>
          <w:bCs/>
          <w:sz w:val="22"/>
          <w:szCs w:val="22"/>
        </w:rPr>
        <w:t xml:space="preserve">Weekly 15-minute check-ins for guidance and accountability</w:t>
      </w:r>
      <w:r>
        <w:rPr>
          <w:sz w:val="22"/>
          <w:szCs w:val="22"/>
        </w:rPr>
        <w:t xml:space="preserve">Course Instructor: </w:t>
      </w:r>
    </w:p>
    <w:p>
      <w:pPr>
        <w:pStyle w:val="ListParagraph"/>
        <w:numPr>
          <w:ilvl w:val="0"/>
          <w:numId w:val="2"/>
        </w:numPr>
        <w:spacing w:after="60" w:before="60"/>
      </w:pPr>
      <w:r>
        <w:rPr>
          <w:b/>
          <w:bCs/>
          <w:sz w:val="22"/>
          <w:szCs w:val="22"/>
        </w:rPr>
        <w:t xml:space="preserve">UFS SRW App Tutorial — August 10, 2020 Derecho (ufs.epic.noaa.gov)</w:t>
      </w:r>
      <w:r>
        <w:rPr>
          <w:sz w:val="22"/>
          <w:szCs w:val="22"/>
        </w:rPr>
        <w:t xml:space="preserve">Tutorial: </w:t>
      </w:r>
    </w:p>
    <w:p>
      <w:pPr>
        <w:pStyle w:val="ListParagraph"/>
        <w:numPr>
          <w:ilvl w:val="0"/>
          <w:numId w:val="2"/>
        </w:numPr>
        <w:spacing w:after="60" w:before="60"/>
      </w:pPr>
      <w:r>
        <w:rPr>
          <w:b/>
          <w:bCs/>
          <w:sz w:val="22"/>
          <w:szCs w:val="22"/>
        </w:rPr>
        <w:t xml:space="preserve">Gallus Jr. and Harrold (2023), Weather and Forecasting</w:t>
      </w:r>
      <w:r>
        <w:rPr>
          <w:sz w:val="22"/>
          <w:szCs w:val="22"/>
        </w:rPr>
        <w:t xml:space="preserve">Reference Paper: </w:t>
      </w:r>
    </w:p>
    <w:p>
      <w:pPr>
        <w:pStyle w:val="ListParagraph"/>
        <w:numPr>
          <w:ilvl w:val="0"/>
          <w:numId w:val="2"/>
        </w:numPr>
        <w:spacing w:after="60" w:before="60"/>
      </w:pPr>
      <w:r>
        <w:rPr>
          <w:b/>
          <w:bCs/>
          <w:sz w:val="22"/>
          <w:szCs w:val="22"/>
        </w:rPr>
        <w:t xml:space="preserve">Pre-staged at /work2/noaa/epic/rowins-input on Hercules</w:t>
      </w:r>
      <w:r>
        <w:rPr>
          <w:sz w:val="22"/>
          <w:szCs w:val="22"/>
        </w:rPr>
        <w:t xml:space="preserve">HRRR Input Data: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2026-06-01T17:50:43.576Z</dcterms:created>
  <dcterms:modified xsi:type="dcterms:W3CDTF">2026-06-01T17:50:43.576Z</dcterms:modified>
</cp:coreProperties>
</file>

<file path=docProps/custom.xml><?xml version="1.0" encoding="utf-8"?>
<Properties xmlns="http://schemas.openxmlformats.org/officeDocument/2006/custom-properties" xmlns:vt="http://schemas.openxmlformats.org/officeDocument/2006/docPropsVTypes"/>
</file>