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B89968" w:sz="6" w:space="1"/>
        </w:pBdr>
        <w:spacing w:after="60"/>
      </w:pPr>
      <w:r>
        <w:rPr>
          <w:sz w:val="2"/>
          <w:szCs w:val="2"/>
        </w:rPr>
      </w:r>
    </w:p>
    <w:p>
      <w:pPr>
        <w:spacing w:before="120" w:after="0"/>
        <w:jc w:val="center"/>
      </w:pPr>
      <w:r>
        <w:rPr>
          <w:b/>
          <w:bCs/>
          <w:color w:val="6B1820"/>
          <w:sz w:val="24"/>
          <w:szCs w:val="24"/>
          <w:rFonts w:ascii="Cambria" w:cs="Cambria" w:eastAsia="Cambria" w:hAnsi="Cambria"/>
          <w:spacing w:val="30"/>
        </w:rPr>
        <w:t xml:space="preserve">INSTITUCIÓN EDUCATIVA SOR MARÍA JULIANA</w:t>
      </w:r>
    </w:p>
    <w:p>
      <w:pPr>
        <w:spacing w:after="60"/>
        <w:jc w:val="center"/>
      </w:pPr>
      <w:r>
        <w:rPr>
          <w:i/>
          <w:iCs/>
          <w:color w:val="B89968"/>
          <w:sz w:val="16"/>
          <w:szCs w:val="16"/>
          <w:rFonts w:ascii="Cambria" w:cs="Cambria" w:eastAsia="Cambria" w:hAnsi="Cambria"/>
          <w:spacing w:val="20"/>
        </w:rPr>
        <w:t xml:space="preserve">MORAL PEDESTAL DE LA SABIDURÍA</w:t>
      </w:r>
    </w:p>
    <w:p>
      <w:pPr>
        <w:spacing w:after="0"/>
        <w:jc w:val="center"/>
      </w:pPr>
      <w:r>
        <w:rPr>
          <w:color w:val="1A1614"/>
          <w:sz w:val="16"/>
          <w:szCs w:val="16"/>
          <w:rFonts w:ascii="Calibri" w:cs="Calibri" w:eastAsia="Calibri" w:hAnsi="Calibri"/>
        </w:rPr>
        <w:t xml:space="preserve">Calle 21 No 5-111 — Cartago, Valle del Cauca</w:t>
      </w:r>
    </w:p>
    <w:p>
      <w:pPr>
        <w:pBdr>
          <w:bottom w:val="double" w:color="6B1820" w:sz="6" w:space="8"/>
        </w:pBdr>
        <w:spacing w:after="120"/>
        <w:jc w:val="center"/>
      </w:pPr>
      <w:r>
        <w:rPr>
          <w:color w:val="1A1614"/>
          <w:sz w:val="16"/>
          <w:szCs w:val="16"/>
          <w:rFonts w:ascii="Calibri" w:cs="Calibri" w:eastAsia="Calibri" w:hAnsi="Calibri"/>
        </w:rPr>
        <w:t xml:space="preserve">iesormariajuliana@gmail.com</w:t>
      </w:r>
    </w:p>
    <w:p>
      <w:pPr>
        <w:spacing w:before="360" w:after="120"/>
        <w:jc w:val="center"/>
      </w:pPr>
      <w:r>
        <w:rPr>
          <w:b/>
          <w:bCs/>
          <w:color w:val="1A1614"/>
          <w:sz w:val="28"/>
          <w:szCs w:val="28"/>
          <w:rFonts w:ascii="Cambria" w:cs="Cambria" w:eastAsia="Cambria" w:hAnsi="Cambria"/>
        </w:rPr>
        <w:t xml:space="preserve">RESOLUCIÓN SANCIONATORIA DE RECTORÍA</w:t>
      </w:r>
    </w:p>
    <w:p>
      <w:pPr>
        <w:pBdr>
          <w:bottom w:val="single" w:color="6B1820" w:sz="6" w:space="8"/>
        </w:pBdr>
        <w:spacing w:after="240"/>
        <w:jc w:val="center"/>
      </w:pPr>
      <w:r>
        <w:rPr>
          <w:i/>
          <w:iCs/>
          <w:color w:val="B89968"/>
          <w:sz w:val="18"/>
          <w:szCs w:val="18"/>
          <w:rFonts w:ascii="Calibri" w:cs="Calibri" w:eastAsia="Calibri" w:hAnsi="Calibri"/>
        </w:rPr>
        <w:t xml:space="preserve">Fundamento: Manual Art. 37; Art. 42</w:t>
      </w:r>
    </w:p>
    <w:p>
      <w:pPr>
        <w:spacing w:before="120" w:after="80"/>
      </w:pPr>
      <w:r>
        <w:rPr>
          <w:b/>
          <w:bCs/>
          <w:color w:val="6B1820"/>
          <w:sz w:val="18"/>
          <w:szCs w:val="18"/>
          <w:rFonts w:ascii="Cambria" w:cs="Cambria" w:eastAsia="Cambria" w:hAnsi="Cambria"/>
          <w:spacing w:val="30"/>
        </w:rPr>
        <w:t xml:space="preserve">IDENTIFICACIÓN DEL CASO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6CFC2" w:sz="4"/>
              <w:left w:val="single" w:color="D6CFC2" w:sz="4"/>
              <w:bottom w:val="single" w:color="D6CFC2" w:sz="4"/>
              <w:right w:val="single" w:color="D6CFC2" w:sz="4"/>
            </w:tcBorders>
            <w:shd w:fill="F0EBE3" w:val="clear"/>
            <w:tcMar>
              <w:top w:type="dxa" w:w="80"/>
              <w:left w:type="dxa" w:w="120"/>
              <w:bottom w:type="dxa" w:w="80"/>
              <w:right w:type="dxa" w:w="120"/>
            </w:tcMar>
          </w:tcPr>
          <w:p>
            <w:r>
              <w:rPr>
                <w:b/>
                <w:bCs/>
                <w:color w:val="6B1820"/>
                <w:sz w:val="18"/>
                <w:szCs w:val="18"/>
                <w:rFonts w:ascii="Calibri" w:cs="Calibri" w:eastAsia="Calibri" w:hAnsi="Calibri"/>
              </w:rPr>
              <w:t xml:space="preserve">N.º de caso</w:t>
            </w:r>
          </w:p>
        </w:tc>
        <w:tc>
          <w:tcPr>
            <w:tcW w:type="dxa" w:w="6560"/>
            <w:tcBorders>
              <w:top w:val="single" w:color="D6CFC2" w:sz="4"/>
              <w:left w:val="single" w:color="D6CFC2" w:sz="4"/>
              <w:bottom w:val="single" w:color="D6CFC2" w:sz="4"/>
              <w:right w:val="single" w:color="D6CFC2" w:sz="4"/>
            </w:tcBorders>
            <w:tcMar>
              <w:top w:type="dxa" w:w="80"/>
              <w:left w:type="dxa" w:w="120"/>
              <w:bottom w:type="dxa" w:w="80"/>
              <w:right w:type="dxa" w:w="120"/>
            </w:tcMar>
          </w:tcPr>
          <w:p>
            <w:r>
              <w:rPr>
                <w:color w:val="1A1614"/>
                <w:sz w:val="20"/>
                <w:szCs w:val="20"/>
                <w:rFonts w:ascii="Calibri" w:cs="Calibri" w:eastAsia="Calibri" w:hAnsi="Calibri"/>
              </w:rPr>
              <w:t xml:space="preserve">CASO-2026-1247</w:t>
            </w:r>
          </w:p>
        </w:tc>
      </w:tr>
      <w:tr>
        <w:tc>
          <w:tcPr>
            <w:tcW w:type="dxa" w:w="2800"/>
            <w:tcBorders>
              <w:top w:val="single" w:color="D6CFC2" w:sz="4"/>
              <w:left w:val="single" w:color="D6CFC2" w:sz="4"/>
              <w:bottom w:val="single" w:color="D6CFC2" w:sz="4"/>
              <w:right w:val="single" w:color="D6CFC2" w:sz="4"/>
            </w:tcBorders>
            <w:shd w:fill="F0EBE3" w:val="clear"/>
            <w:tcMar>
              <w:top w:type="dxa" w:w="80"/>
              <w:left w:type="dxa" w:w="120"/>
              <w:bottom w:type="dxa" w:w="80"/>
              <w:right w:type="dxa" w:w="120"/>
            </w:tcMar>
          </w:tcPr>
          <w:p>
            <w:r>
              <w:rPr>
                <w:b/>
                <w:bCs/>
                <w:color w:val="6B1820"/>
                <w:sz w:val="18"/>
                <w:szCs w:val="18"/>
                <w:rFonts w:ascii="Calibri" w:cs="Calibri" w:eastAsia="Calibri" w:hAnsi="Calibri"/>
              </w:rPr>
              <w:t xml:space="preserve">Fecha de apertura</w:t>
            </w:r>
          </w:p>
        </w:tc>
        <w:tc>
          <w:tcPr>
            <w:tcW w:type="dxa" w:w="6560"/>
            <w:tcBorders>
              <w:top w:val="single" w:color="D6CFC2" w:sz="4"/>
              <w:left w:val="single" w:color="D6CFC2" w:sz="4"/>
              <w:bottom w:val="single" w:color="D6CFC2" w:sz="4"/>
              <w:right w:val="single" w:color="D6CFC2" w:sz="4"/>
            </w:tcBorders>
            <w:tcMar>
              <w:top w:type="dxa" w:w="80"/>
              <w:left w:type="dxa" w:w="120"/>
              <w:bottom w:type="dxa" w:w="80"/>
              <w:right w:type="dxa" w:w="120"/>
            </w:tcMar>
          </w:tcPr>
          <w:p>
            <w:r>
              <w:rPr>
                <w:color w:val="1A1614"/>
                <w:sz w:val="20"/>
                <w:szCs w:val="20"/>
                <w:rFonts w:ascii="Calibri" w:cs="Calibri" w:eastAsia="Calibri" w:hAnsi="Calibri"/>
              </w:rPr>
              <w:t xml:space="preserve">2026-04-28</w:t>
            </w:r>
          </w:p>
        </w:tc>
      </w:tr>
      <w:tr>
        <w:tc>
          <w:tcPr>
            <w:tcW w:type="dxa" w:w="2800"/>
            <w:tcBorders>
              <w:top w:val="single" w:color="D6CFC2" w:sz="4"/>
              <w:left w:val="single" w:color="D6CFC2" w:sz="4"/>
              <w:bottom w:val="single" w:color="D6CFC2" w:sz="4"/>
              <w:right w:val="single" w:color="D6CFC2" w:sz="4"/>
            </w:tcBorders>
            <w:shd w:fill="F0EBE3" w:val="clear"/>
            <w:tcMar>
              <w:top w:type="dxa" w:w="80"/>
              <w:left w:type="dxa" w:w="120"/>
              <w:bottom w:type="dxa" w:w="80"/>
              <w:right w:type="dxa" w:w="120"/>
            </w:tcMar>
          </w:tcPr>
          <w:p>
            <w:r>
              <w:rPr>
                <w:b/>
                <w:bCs/>
                <w:color w:val="6B1820"/>
                <w:sz w:val="18"/>
                <w:szCs w:val="18"/>
                <w:rFonts w:ascii="Calibri" w:cs="Calibri" w:eastAsia="Calibri" w:hAnsi="Calibri"/>
              </w:rPr>
              <w:t xml:space="preserve">Estudiante</w:t>
            </w:r>
          </w:p>
        </w:tc>
        <w:tc>
          <w:tcPr>
            <w:tcW w:type="dxa" w:w="6560"/>
            <w:tcBorders>
              <w:top w:val="single" w:color="D6CFC2" w:sz="4"/>
              <w:left w:val="single" w:color="D6CFC2" w:sz="4"/>
              <w:bottom w:val="single" w:color="D6CFC2" w:sz="4"/>
              <w:right w:val="single" w:color="D6CFC2" w:sz="4"/>
            </w:tcBorders>
            <w:tcMar>
              <w:top w:type="dxa" w:w="80"/>
              <w:left w:type="dxa" w:w="120"/>
              <w:bottom w:type="dxa" w:w="80"/>
              <w:right w:type="dxa" w:w="120"/>
            </w:tcMar>
          </w:tcPr>
          <w:p>
            <w:r>
              <w:rPr>
                <w:color w:val="1A1614"/>
                <w:sz w:val="20"/>
                <w:szCs w:val="20"/>
                <w:rFonts w:ascii="Calibri" w:cs="Calibri" w:eastAsia="Calibri" w:hAnsi="Calibri"/>
              </w:rPr>
              <w:t xml:space="preserve">María Fernanda Gómez Rodríguez</w:t>
            </w:r>
          </w:p>
        </w:tc>
      </w:tr>
      <w:tr>
        <w:tc>
          <w:tcPr>
            <w:tcW w:type="dxa" w:w="2800"/>
            <w:tcBorders>
              <w:top w:val="single" w:color="D6CFC2" w:sz="4"/>
              <w:left w:val="single" w:color="D6CFC2" w:sz="4"/>
              <w:bottom w:val="single" w:color="D6CFC2" w:sz="4"/>
              <w:right w:val="single" w:color="D6CFC2" w:sz="4"/>
            </w:tcBorders>
            <w:shd w:fill="F0EBE3" w:val="clear"/>
            <w:tcMar>
              <w:top w:type="dxa" w:w="80"/>
              <w:left w:type="dxa" w:w="120"/>
              <w:bottom w:type="dxa" w:w="80"/>
              <w:right w:type="dxa" w:w="120"/>
            </w:tcMar>
          </w:tcPr>
          <w:p>
            <w:r>
              <w:rPr>
                <w:b/>
                <w:bCs/>
                <w:color w:val="6B1820"/>
                <w:sz w:val="18"/>
                <w:szCs w:val="18"/>
                <w:rFonts w:ascii="Calibri" w:cs="Calibri" w:eastAsia="Calibri" w:hAnsi="Calibri"/>
              </w:rPr>
              <w:t xml:space="preserve">Funcionario que reporta</w:t>
            </w:r>
          </w:p>
        </w:tc>
        <w:tc>
          <w:tcPr>
            <w:tcW w:type="dxa" w:w="6560"/>
            <w:tcBorders>
              <w:top w:val="single" w:color="D6CFC2" w:sz="4"/>
              <w:left w:val="single" w:color="D6CFC2" w:sz="4"/>
              <w:bottom w:val="single" w:color="D6CFC2" w:sz="4"/>
              <w:right w:val="single" w:color="D6CFC2" w:sz="4"/>
            </w:tcBorders>
            <w:tcMar>
              <w:top w:type="dxa" w:w="80"/>
              <w:left w:type="dxa" w:w="120"/>
              <w:bottom w:type="dxa" w:w="80"/>
              <w:right w:type="dxa" w:w="120"/>
            </w:tcMar>
          </w:tcPr>
          <w:p>
            <w:r>
              <w:rPr>
                <w:color w:val="1A1614"/>
                <w:sz w:val="20"/>
                <w:szCs w:val="20"/>
                <w:rFonts w:ascii="Calibri" w:cs="Calibri" w:eastAsia="Calibri" w:hAnsi="Calibri"/>
              </w:rPr>
              <w:t xml:space="preserve">Patricia Vélez (Rectora)</w:t>
            </w:r>
          </w:p>
        </w:tc>
      </w:tr>
    </w:tbl>
    <w:p>
      <w:pPr>
        <w:spacing w:after="240"/>
      </w:pPr>
      <w:r/>
    </w:p>
    <w:p>
      <w:pPr>
        <w:spacing w:before="120" w:after="120"/>
      </w:pPr>
      <w:r>
        <w:rPr>
          <w:b/>
          <w:bCs/>
          <w:color w:val="6B1820"/>
          <w:sz w:val="18"/>
          <w:szCs w:val="18"/>
          <w:rFonts w:ascii="Cambria" w:cs="Cambria" w:eastAsia="Cambria" w:hAnsi="Cambria"/>
          <w:spacing w:val="30"/>
        </w:rPr>
        <w:t xml:space="preserve">CONTENIDO DEL FORMATO</w:t>
      </w:r>
    </w:p>
    <w:p>
      <w:pPr>
        <w:spacing w:before="180" w:after="60"/>
      </w:pPr>
      <w:r>
        <w:rPr>
          <w:b/>
          <w:bCs/>
          <w:color w:val="6B1820"/>
          <w:sz w:val="18"/>
          <w:szCs w:val="18"/>
          <w:rFonts w:ascii="Calibri" w:cs="Calibri" w:eastAsia="Calibri" w:hAnsi="Calibri"/>
          <w:spacing w:val="20"/>
        </w:rPr>
        <w:t xml:space="preserve">NUMERO RESOLUCION *</w:t>
      </w:r>
    </w:p>
    <w:p>
      <w:pPr>
        <w:pBdr>
          <w:bottom w:val="single" w:color="D6CFC2" w:sz="4" w:space="4"/>
        </w:pBdr>
        <w:spacing w:after="60"/>
      </w:pPr>
      <w:r>
        <w:rPr>
          <w:color w:val="1A1614"/>
          <w:sz w:val="22"/>
          <w:szCs w:val="22"/>
          <w:rFonts w:ascii="Calibri" w:cs="Calibri" w:eastAsia="Calibri" w:hAnsi="Calibri"/>
        </w:rPr>
        <w:t xml:space="preserve">R-2026-047</w:t>
      </w:r>
    </w:p>
    <w:p>
      <w:pPr>
        <w:spacing w:before="180" w:after="60"/>
      </w:pPr>
      <w:r>
        <w:rPr>
          <w:b/>
          <w:bCs/>
          <w:color w:val="6B1820"/>
          <w:sz w:val="18"/>
          <w:szCs w:val="18"/>
          <w:rFonts w:ascii="Calibri" w:cs="Calibri" w:eastAsia="Calibri" w:hAnsi="Calibri"/>
          <w:spacing w:val="20"/>
        </w:rPr>
        <w:t xml:space="preserve">FECHA *</w:t>
      </w:r>
    </w:p>
    <w:p>
      <w:pPr>
        <w:pBdr>
          <w:bottom w:val="single" w:color="D6CFC2" w:sz="4" w:space="4"/>
        </w:pBdr>
        <w:spacing w:after="60"/>
      </w:pPr>
      <w:r>
        <w:rPr>
          <w:color w:val="1A1614"/>
          <w:sz w:val="22"/>
          <w:szCs w:val="22"/>
          <w:rFonts w:ascii="Calibri" w:cs="Calibri" w:eastAsia="Calibri" w:hAnsi="Calibri"/>
        </w:rPr>
        <w:t xml:space="preserve">5 de mayo de 2026</w:t>
      </w:r>
    </w:p>
    <w:p>
      <w:pPr>
        <w:spacing w:before="180" w:after="60"/>
      </w:pPr>
      <w:r>
        <w:rPr>
          <w:b/>
          <w:bCs/>
          <w:color w:val="6B1820"/>
          <w:sz w:val="18"/>
          <w:szCs w:val="18"/>
          <w:rFonts w:ascii="Calibri" w:cs="Calibri" w:eastAsia="Calibri" w:hAnsi="Calibri"/>
          <w:spacing w:val="20"/>
        </w:rPr>
        <w:t xml:space="preserve">CONSIDERANDOS *</w:t>
      </w:r>
    </w:p>
    <w:p>
      <w:pPr>
        <w:spacing w:after="60"/>
      </w:pPr>
      <w:r>
        <w:rPr>
          <w:color w:val="1A1614"/>
          <w:sz w:val="22"/>
          <w:szCs w:val="22"/>
          <w:rFonts w:ascii="Calibri" w:cs="Calibri" w:eastAsia="Calibri" w:hAnsi="Calibri"/>
        </w:rPr>
        <w:t xml:space="preserve">Que el día 28 de abril de 2026, la estudiante MARÍA FERNANDA GÓMEZ RODRÍGUEZ, identificada con TI 1.234.567.890, matriculada en grado 9°-A, jornada de la mañana, presentó la siguiente conducta: durante el descanso de la mañana, en el patio principal de la institución, sostuvo un altercado verbal con su compañera SOFÍA HERRERA, en el cual le respondió de manera agresiva y empujó las pertenencias escolares de esta última al suelo, generando un disturbio en el normal desarrollo de la convivencia escolar. Que se surtió el debido proceso establecido en el Art. 34 del Manual de Convivencia, garantizando el derecho a la defensa, contradicción y presunción de inocencia.</w:t>
      </w:r>
    </w:p>
    <w:p>
      <w:pPr>
        <w:spacing w:before="180" w:after="60"/>
      </w:pPr>
      <w:r>
        <w:rPr>
          <w:b/>
          <w:bCs/>
          <w:color w:val="6B1820"/>
          <w:sz w:val="18"/>
          <w:szCs w:val="18"/>
          <w:rFonts w:ascii="Calibri" w:cs="Calibri" w:eastAsia="Calibri" w:hAnsi="Calibri"/>
          <w:spacing w:val="20"/>
        </w:rPr>
        <w:t xml:space="preserve">FUNDAMENTOS JURIDICOS *</w:t>
      </w:r>
    </w:p>
    <w:p>
      <w:pPr>
        <w:spacing w:after="60"/>
      </w:pPr>
      <w:r>
        <w:rPr>
          <w:color w:val="1A1614"/>
          <w:sz w:val="22"/>
          <w:szCs w:val="22"/>
          <w:rFonts w:ascii="Calibri" w:cs="Calibri" w:eastAsia="Calibri" w:hAnsi="Calibri"/>
        </w:rPr>
        <w:t xml:space="preserve">Constitución Política de Colombia, artículo 29 (debido proceso); Ley 1098 de 2006 (Código de Infancia y Adolescencia); Ley 1620 de 2013 (Sistema Nacional de Convivencia Escolar); Decreto 1965 de 2013; Manual de Convivencia I.E. Sor María Juliana, artículos 31, 34, 40 y 43.</w:t>
      </w:r>
    </w:p>
    <w:p>
      <w:pPr>
        <w:spacing w:before="180" w:after="60"/>
      </w:pPr>
      <w:r>
        <w:rPr>
          <w:b/>
          <w:bCs/>
          <w:color w:val="6B1820"/>
          <w:sz w:val="18"/>
          <w:szCs w:val="18"/>
          <w:rFonts w:ascii="Calibri" w:cs="Calibri" w:eastAsia="Calibri" w:hAnsi="Calibri"/>
          <w:spacing w:val="20"/>
        </w:rPr>
        <w:t xml:space="preserve">HECHOS PROBADOS *</w:t>
      </w:r>
    </w:p>
    <w:p>
      <w:pPr>
        <w:spacing w:after="60"/>
      </w:pPr>
      <w:r>
        <w:rPr>
          <w:color w:val="1A1614"/>
          <w:sz w:val="22"/>
          <w:szCs w:val="22"/>
          <w:rFonts w:ascii="Calibri" w:cs="Calibri" w:eastAsia="Calibri" w:hAnsi="Calibri"/>
        </w:rPr>
        <w:t xml:space="preserve">Mediante acta de versión libre del 5 de mayo de 2026, la estudiante reconoció los hechos. Adicionalmente, los testigos Andrea Castaño y Felipe Velasco confirmaron la conducta. Esta conducta se enmarca en el Art. 40 del Manual como falta grave (perturbación del normal desarrollo de clases).</w:t>
      </w:r>
    </w:p>
    <w:p>
      <w:pPr>
        <w:spacing w:before="180" w:after="60"/>
      </w:pPr>
      <w:r>
        <w:rPr>
          <w:b/>
          <w:bCs/>
          <w:color w:val="6B1820"/>
          <w:sz w:val="18"/>
          <w:szCs w:val="18"/>
          <w:rFonts w:ascii="Calibri" w:cs="Calibri" w:eastAsia="Calibri" w:hAnsi="Calibri"/>
          <w:spacing w:val="20"/>
        </w:rPr>
        <w:t xml:space="preserve">TIPO SANCION *</w:t>
      </w:r>
    </w:p>
    <w:p>
      <w:pPr>
        <w:pBdr>
          <w:bottom w:val="single" w:color="D6CFC2" w:sz="4" w:space="4"/>
        </w:pBdr>
        <w:spacing w:after="60"/>
      </w:pPr>
      <w:r>
        <w:rPr>
          <w:color w:val="1A1614"/>
          <w:sz w:val="22"/>
          <w:szCs w:val="22"/>
          <w:rFonts w:ascii="Calibri" w:cs="Calibri" w:eastAsia="Calibri" w:hAnsi="Calibri"/>
        </w:rPr>
        <w:t xml:space="preserve">Matrícula en observación</w:t>
      </w:r>
    </w:p>
    <w:p>
      <w:pPr>
        <w:spacing w:before="180" w:after="60"/>
      </w:pPr>
      <w:r>
        <w:rPr>
          <w:b/>
          <w:bCs/>
          <w:color w:val="6B1820"/>
          <w:sz w:val="18"/>
          <w:szCs w:val="18"/>
          <w:rFonts w:ascii="Calibri" w:cs="Calibri" w:eastAsia="Calibri" w:hAnsi="Calibri"/>
          <w:spacing w:val="20"/>
        </w:rPr>
        <w:t xml:space="preserve">DURACION SANCION</w:t>
      </w:r>
    </w:p>
    <w:p>
      <w:pPr>
        <w:pBdr>
          <w:bottom w:val="single" w:color="D6CFC2" w:sz="4" w:space="4"/>
        </w:pBdr>
        <w:spacing w:after="60"/>
      </w:pPr>
      <w:r>
        <w:rPr>
          <w:color w:val="1A1614"/>
          <w:sz w:val="22"/>
          <w:szCs w:val="22"/>
          <w:rFonts w:ascii="Calibri" w:cs="Calibri" w:eastAsia="Calibri" w:hAnsi="Calibri"/>
        </w:rPr>
        <w:t xml:space="preserve">Por el resto del año lectivo 2026</w:t>
      </w:r>
    </w:p>
    <w:p>
      <w:pPr>
        <w:spacing w:before="180" w:after="60"/>
      </w:pPr>
      <w:r>
        <w:rPr>
          <w:b/>
          <w:bCs/>
          <w:color w:val="6B1820"/>
          <w:sz w:val="18"/>
          <w:szCs w:val="18"/>
          <w:rFonts w:ascii="Calibri" w:cs="Calibri" w:eastAsia="Calibri" w:hAnsi="Calibri"/>
          <w:spacing w:val="20"/>
        </w:rPr>
        <w:t xml:space="preserve">FECHA INICIO SANCION</w:t>
      </w:r>
    </w:p>
    <w:p>
      <w:pPr>
        <w:pBdr>
          <w:bottom w:val="single" w:color="D6CFC2" w:sz="4" w:space="4"/>
        </w:pBdr>
        <w:spacing w:after="60"/>
      </w:pPr>
      <w:r>
        <w:rPr>
          <w:color w:val="1A1614"/>
          <w:sz w:val="22"/>
          <w:szCs w:val="22"/>
          <w:rFonts w:ascii="Calibri" w:cs="Calibri" w:eastAsia="Calibri" w:hAnsi="Calibri"/>
        </w:rPr>
        <w:t xml:space="preserve">6 de mayo de 2026</w:t>
      </w:r>
    </w:p>
    <w:p>
      <w:pPr>
        <w:spacing w:before="180" w:after="60"/>
      </w:pPr>
      <w:r>
        <w:rPr>
          <w:b/>
          <w:bCs/>
          <w:color w:val="6B1820"/>
          <w:sz w:val="18"/>
          <w:szCs w:val="18"/>
          <w:rFonts w:ascii="Calibri" w:cs="Calibri" w:eastAsia="Calibri" w:hAnsi="Calibri"/>
          <w:spacing w:val="20"/>
        </w:rPr>
        <w:t xml:space="preserve">FECHA FIN SANCION</w:t>
      </w:r>
    </w:p>
    <w:p>
      <w:pPr>
        <w:pBdr>
          <w:bottom w:val="single" w:color="D6CFC2" w:sz="4" w:space="4"/>
        </w:pBdr>
        <w:spacing w:after="60"/>
      </w:pPr>
      <w:r>
        <w:rPr>
          <w:color w:val="1A1614"/>
          <w:sz w:val="22"/>
          <w:szCs w:val="22"/>
          <w:rFonts w:ascii="Calibri" w:cs="Calibri" w:eastAsia="Calibri" w:hAnsi="Calibri"/>
        </w:rPr>
        <w:t xml:space="preserve">30 de noviembre de 2026</w:t>
      </w:r>
    </w:p>
    <w:p>
      <w:pPr>
        <w:spacing w:before="180" w:after="60"/>
      </w:pPr>
      <w:r>
        <w:rPr>
          <w:b/>
          <w:bCs/>
          <w:color w:val="6B1820"/>
          <w:sz w:val="18"/>
          <w:szCs w:val="18"/>
          <w:rFonts w:ascii="Calibri" w:cs="Calibri" w:eastAsia="Calibri" w:hAnsi="Calibri"/>
          <w:spacing w:val="20"/>
        </w:rPr>
        <w:t xml:space="preserve">RECURSOS PROCEDENTES *</w:t>
      </w:r>
    </w:p>
    <w:p>
      <w:pPr>
        <w:spacing w:after="60"/>
      </w:pPr>
      <w:r>
        <w:rPr>
          <w:color w:val="1A1614"/>
          <w:sz w:val="22"/>
          <w:szCs w:val="22"/>
          <w:rFonts w:ascii="Calibri" w:cs="Calibri" w:eastAsia="Calibri" w:hAnsi="Calibri"/>
        </w:rPr>
        <w:t xml:space="preserve">Contra la presente decisión proceden los recursos de reposición ante la Rectoría dentro de los 3 días hábiles siguientes a la notificación, y de apelación ante el Consejo Directivo dentro de los 3 días hábiles siguientes a la decisión de reposición.</w:t>
      </w:r>
    </w:p>
    <w:p>
      <w:pPr>
        <w:spacing w:before="180" w:after="60"/>
      </w:pPr>
      <w:r>
        <w:rPr>
          <w:b/>
          <w:bCs/>
          <w:color w:val="6B1820"/>
          <w:sz w:val="18"/>
          <w:szCs w:val="18"/>
          <w:rFonts w:ascii="Calibri" w:cs="Calibri" w:eastAsia="Calibri" w:hAnsi="Calibri"/>
          <w:spacing w:val="20"/>
        </w:rPr>
        <w:t xml:space="preserve">CONSTANCIA NOTIFICACION</w:t>
      </w:r>
    </w:p>
    <w:p>
      <w:pPr>
        <w:pBdr>
          <w:bottom w:val="single" w:color="D6CFC2" w:sz="4" w:space="4"/>
        </w:pBdr>
        <w:spacing w:after="60"/>
      </w:pPr>
      <w:r>
        <w:rPr>
          <w:sz w:val="22"/>
          <w:szCs w:val="22"/>
        </w:rPr>
        <w:t xml:space="preserve"> </w:t>
      </w:r>
    </w:p>
    <w:p>
      <w:pPr>
        <w:pBdr>
          <w:bottom w:val="single" w:color="D6CFC2" w:sz="4" w:space="4"/>
        </w:pBdr>
        <w:spacing w:after="60"/>
      </w:pPr>
      <w:r>
        <w:rPr>
          <w:sz w:val="22"/>
          <w:szCs w:val="22"/>
        </w:rPr>
        <w:t xml:space="preserve"> </w:t>
      </w:r>
    </w:p>
    <w:p>
      <w:pPr>
        <w:pBdr>
          <w:bottom w:val="single" w:color="D6CFC2" w:sz="4" w:space="4"/>
        </w:pBdr>
        <w:spacing w:after="60"/>
      </w:pPr>
      <w:r>
        <w:rPr>
          <w:sz w:val="22"/>
          <w:szCs w:val="22"/>
        </w:rPr>
        <w:t xml:space="preserve"> </w:t>
      </w:r>
    </w:p>
    <w:p>
      <w:pPr>
        <w:pBdr>
          <w:bottom w:val="single" w:color="D6CFC2" w:sz="4" w:space="4"/>
        </w:pBdr>
        <w:spacing w:after="60"/>
      </w:pPr>
      <w:r>
        <w:rPr>
          <w:sz w:val="22"/>
          <w:szCs w:val="22"/>
        </w:rPr>
        <w:t xml:space="preserve"> </w:t>
      </w:r>
    </w:p>
    <w:p>
      <w:pPr>
        <w:spacing w:before="480"/>
      </w:pPr>
      <w:r/>
    </w:p>
    <w:p>
      <w:pPr>
        <w:spacing w:before="120" w:after="240"/>
      </w:pPr>
      <w:r>
        <w:rPr>
          <w:b/>
          <w:bCs/>
          <w:color w:val="6B1820"/>
          <w:sz w:val="18"/>
          <w:szCs w:val="18"/>
          <w:rFonts w:ascii="Cambria" w:cs="Cambria" w:eastAsia="Cambria" w:hAnsi="Cambria"/>
          <w:spacing w:val="30"/>
        </w:rPr>
        <w:t xml:space="preserve">FIRMAS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360"/>
            </w:pPr>
            <w:r/>
          </w:p>
          <w:p>
            <w:pPr>
              <w:pBdr>
                <w:top w:val="single" w:color="1A1614" w:sz="6"/>
              </w:pBdr>
              <w:spacing w:before="0" w:after="60"/>
              <w:jc w:val="center"/>
            </w:pPr>
            <w:r>
              <w:rPr>
                <w:sz w:val="4"/>
                <w:szCs w:val="4"/>
              </w:rPr>
            </w:r>
          </w:p>
          <w:p>
            <w:pPr>
              <w:jc w:val="center"/>
            </w:pPr>
            <w:r>
              <w:rPr>
                <w:b/>
                <w:bCs/>
                <w:color w:val="1A1614"/>
                <w:sz w:val="18"/>
                <w:szCs w:val="18"/>
                <w:rFonts w:ascii="Calibri" w:cs="Calibri" w:eastAsia="Calibri" w:hAnsi="Calibri"/>
              </w:rPr>
              <w:t xml:space="preserve">Firma Rector</w:t>
            </w:r>
          </w:p>
          <w:p>
            <w:pPr>
              <w:jc w:val="center"/>
            </w:pPr>
            <w:r>
              <w:rPr>
                <w:i/>
                <w:iCs/>
                <w:color w:val="A89F92"/>
                <w:sz w:val="14"/>
                <w:szCs w:val="14"/>
                <w:rFonts w:ascii="Calibri" w:cs="Calibri" w:eastAsia="Calibri" w:hAnsi="Calibri"/>
              </w:rPr>
              <w:t xml:space="preserve">Nombre, Documento y Cargo</w:t>
            </w:r>
          </w:p>
        </w:tc>
        <w:tc>
          <w:tcPr>
            <w:tcW w:type="dxa" w:w="4680"/>
            <w:tcBorders>
              <w:top w:val="none" w:color="FFFFFF" w:sz="0"/>
              <w:left w:val="none" w:color="FFFFFF" w:sz="0"/>
              <w:bottom w:val="none" w:color="FFFFFF" w:sz="0"/>
              <w:right w:val="none" w:color="FFFFFF" w:sz="0"/>
            </w:tcBorders>
          </w:tcPr>
          <w:p>
            <w:r/>
          </w:p>
        </w:tc>
      </w:tr>
    </w:tbl>
    <w:p>
      <w:pPr>
        <w:spacing w:before="240"/>
      </w:pPr>
      <w:r/>
    </w:p>
    <w:p>
      <w:pPr>
        <w:spacing w:before="480"/>
        <w:jc w:val="center"/>
      </w:pPr>
      <w:r>
        <w:rPr>
          <w:i/>
          <w:iCs/>
          <w:color w:val="A89F92"/>
          <w:sz w:val="14"/>
          <w:szCs w:val="14"/>
          <w:rFonts w:ascii="Calibri" w:cs="Calibri" w:eastAsia="Calibri" w:hAnsi="Calibri"/>
        </w:rPr>
        <w:t xml:space="preserve">Documento generado el 5/5/2026, 6:27:40 p. m. por el Asesor del Debido Proceso v2.0</w:t>
      </w:r>
    </w:p>
    <w:sectPr>
      <w:footerReference w:type="default" r:id="rId6"/>
      <w:pgSz w:w="12240" w:h="15840" w:orient="portrait"/>
      <w:pgMar w:top="108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color w:val="A89F92"/>
        <w:sz w:val="14"/>
        <w:szCs w:val="14"/>
        <w:rFonts w:ascii="Calibri" w:cs="Calibri" w:eastAsia="Calibri" w:hAnsi="Calibri"/>
      </w:rPr>
      <w:t xml:space="preserve">INSTITUCIÓN EDUCATIVA SOR MARÍA JULIANA · MORAL PEDESTAL DE LA SABIDURÍA</w:t>
    </w:r>
  </w:p>
  <w:p>
    <w:pPr>
      <w:jc w:val="center"/>
    </w:pPr>
    <w:r>
      <w:rPr>
        <w:color w:val="A89F92"/>
        <w:sz w:val="14"/>
        <w:szCs w:val="14"/>
        <w:rFonts w:ascii="Calibri" w:cs="Calibri" w:eastAsia="Calibri" w:hAnsi="Calibri"/>
      </w:rPr>
      <w:t xml:space="preserve">Calle 21 No 5-111 · Cartago, Valle del Cauca · iesormariajuliana@gmail.com</w:t>
    </w:r>
    <w:r>
      <w:rPr>
        <w:color w:val="A89F92"/>
        <w:sz w:val="14"/>
        <w:szCs w:val="14"/>
        <w:rFonts w:ascii="Calibri" w:cs="Calibri" w:eastAsia="Calibri" w:hAnsi="Calibri"/>
      </w:rPr>
      <w:t xml:space="preserve">   ·   Página </w:t>
    </w:r>
    <w:r>
      <w:rPr>
        <w:color w:val="A89F92"/>
        <w:sz w:val="14"/>
        <w:szCs w:val="14"/>
        <w:rFonts w:ascii="Calibri" w:cs="Calibri" w:eastAsia="Calibri" w:hAnsi="Calibri"/>
      </w:rPr>
      <w:fldChar w:fldCharType="begin"/>
      <w:instrText xml:space="preserve">PAGE</w:instrText>
      <w:fldChar w:fldCharType="separate"/>
      <w:fldChar w:fldCharType="end"/>
    </w:r>
    <w:r>
      <w:rPr>
        <w:color w:val="A89F92"/>
        <w:sz w:val="14"/>
        <w:szCs w:val="14"/>
        <w:rFonts w:ascii="Calibri" w:cs="Calibri" w:eastAsia="Calibri" w:hAnsi="Calibri"/>
      </w:rPr>
      <w:t xml:space="preserve"> de </w:t>
    </w:r>
    <w:r>
      <w:rPr>
        <w:color w:val="A89F92"/>
        <w:sz w:val="14"/>
        <w:szCs w:val="14"/>
        <w:rFonts w:ascii="Calibri" w:cs="Calibri" w:eastAsia="Calibri" w:hAnsi="Calibri"/>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Resolución Sancionatoria de Rectoría</dc:title>
  <dc:creator>I.E. Sor María Juliana — Asesor del Debido Proceso</dc:creator>
  <dc:description>Manual Art. 37; Art. 42</dc:description>
  <cp:lastModifiedBy>Un-named</cp:lastModifiedBy>
  <cp:revision>1</cp:revision>
  <dcterms:created xsi:type="dcterms:W3CDTF">2026-05-05T18:27:40.300Z</dcterms:created>
  <dcterms:modified xsi:type="dcterms:W3CDTF">2026-05-05T18:27:40.300Z</dcterms:modified>
</cp:coreProperties>
</file>

<file path=docProps/custom.xml><?xml version="1.0" encoding="utf-8"?>
<Properties xmlns="http://schemas.openxmlformats.org/officeDocument/2006/custom-properties" xmlns:vt="http://schemas.openxmlformats.org/officeDocument/2006/docPropsVTypes"/>
</file>