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97D"/>
          <w:sz w:val="48"/>
        </w:rPr>
        <w:t>IPIP-NEO 问卷底层逻辑验证报告</w:t>
      </w:r>
    </w:p>
    <w:p>
      <w:pPr>
        <w:spacing w:after="0" w:before="0"/>
      </w:pPr>
    </w:p>
    <w:p>
      <w:pPr>
        <w:jc w:val="center"/>
      </w:pPr>
      <w:r>
        <w:rPr>
          <w:rFonts w:ascii="Arial" w:hAnsi="Arial"/>
          <w:color w:val="2E75B6"/>
          <w:sz w:val="26"/>
        </w:rPr>
        <w:t>— 适用于印度 / 东南亚 / 巴西市场的职业测评SaaS产品 —</w:t>
      </w:r>
    </w:p>
    <w:p>
      <w:pPr>
        <w:spacing w:after="0" w:before="0"/>
      </w:pPr>
    </w:p>
    <w:p>
      <w:pPr>
        <w:jc w:val="center"/>
      </w:pPr>
      <w:r>
        <w:rPr>
          <w:rFonts w:ascii="Arial" w:hAnsi="Arial"/>
          <w:color w:val="444444"/>
          <w:sz w:val="20"/>
        </w:rPr>
        <w:t>研究版本 v1.0  |  2026年3月</w:t>
      </w:r>
    </w:p>
    <w:p>
      <w:r>
        <w:br w:type="page"/>
      </w:r>
    </w:p>
    <w:p>
      <w:pPr>
        <w:pStyle w:val="Heading1"/>
        <w:jc w:val="left"/>
      </w:pPr>
      <w:r>
        <w:rPr>
          <w:rFonts w:ascii="Arial" w:hAnsi="Arial"/>
          <w:color w:val="1F497D"/>
          <w:sz w:val="32"/>
        </w:rPr>
        <w:t>执行摘要</w:t>
      </w:r>
    </w:p>
    <w:p>
      <w:pPr>
        <w:spacing w:after="80"/>
      </w:pPr>
      <w:r>
        <w:rPr>
          <w:rFonts w:ascii="Arial" w:hAnsi="Arial"/>
          <w:b w:val="0"/>
          <w:color w:val="444444"/>
          <w:sz w:val="21"/>
        </w:rPr>
        <w:t>本报告从四个维度系统验证 IPIP-NEO（大五人格）作为职业测评SaaS产品底层问卷框架的适用性：（1）与主流替代方案的科学对比；（2）印度/东南亚/巴西市场的本地化适配性；（3）AI化改造的技术可行性与商业路径；（4）商业化落地可行性验证。</w:t>
      </w:r>
    </w:p>
    <w:p>
      <w:pPr>
        <w:spacing w:after="0" w:before="0"/>
      </w:pPr>
    </w:p>
    <w:tbl>
      <w:tblPr>
        <w:tblStyle w:val="TableGrid"/>
        <w:tblW w:type="auto" w:w="0"/>
        <w:jc w:val="center"/>
        <w:tblLook w:firstColumn="1" w:firstRow="1" w:lastColumn="0" w:lastRow="0" w:noHBand="0" w:noVBand="1" w:val="04A0"/>
      </w:tblPr>
      <w:tblGrid>
        <w:gridCol w:w="3024"/>
        <w:gridCol w:w="3024"/>
        <w:gridCol w:w="3024"/>
      </w:tblGrid>
      <w:tr>
        <w:tc>
          <w:tcPr>
            <w:tcW w:type="dxa" w:w="1984"/>
            <w:vAlign w:val="center"/>
            <w:shd w:val="clear" w:color="auto" w:fill="2E75B6"/>
          </w:tcPr>
          <w:p>
            <w:pPr>
              <w:jc w:val="center"/>
            </w:pPr>
            <w:r>
              <w:rPr>
                <w:rFonts w:ascii="Arial" w:hAnsi="Arial"/>
                <w:b/>
                <w:color w:val="FFFFFF"/>
                <w:sz w:val="19"/>
              </w:rPr>
              <w:t>验证维度</w:t>
            </w:r>
          </w:p>
        </w:tc>
        <w:tc>
          <w:tcPr>
            <w:tcW w:type="dxa" w:w="5953"/>
            <w:vAlign w:val="center"/>
            <w:shd w:val="clear" w:color="auto" w:fill="2E75B6"/>
          </w:tcPr>
          <w:p>
            <w:pPr>
              <w:jc w:val="center"/>
            </w:pPr>
            <w:r>
              <w:rPr>
                <w:rFonts w:ascii="Arial" w:hAnsi="Arial"/>
                <w:b/>
                <w:color w:val="FFFFFF"/>
                <w:sz w:val="19"/>
              </w:rPr>
              <w:t>核心结论</w:t>
            </w:r>
          </w:p>
        </w:tc>
        <w:tc>
          <w:tcPr>
            <w:tcW w:type="dxa" w:w="1247"/>
            <w:vAlign w:val="center"/>
            <w:shd w:val="clear" w:color="auto" w:fill="2E75B6"/>
          </w:tcPr>
          <w:p>
            <w:pPr>
              <w:jc w:val="center"/>
            </w:pPr>
            <w:r>
              <w:rPr>
                <w:rFonts w:ascii="Arial" w:hAnsi="Arial"/>
                <w:b/>
                <w:color w:val="FFFFFF"/>
                <w:sz w:val="19"/>
              </w:rPr>
              <w:t>风险等级</w:t>
            </w:r>
          </w:p>
        </w:tc>
      </w:tr>
      <w:tr>
        <w:tc>
          <w:tcPr>
            <w:tcW w:type="dxa" w:w="1984"/>
            <w:vAlign w:val="center"/>
          </w:tcPr>
          <w:p>
            <w:r>
              <w:rPr>
                <w:rFonts w:ascii="Arial" w:hAnsi="Arial"/>
                <w:color w:val="444444"/>
                <w:sz w:val="19"/>
              </w:rPr>
              <w:t>科学性对比</w:t>
            </w:r>
          </w:p>
        </w:tc>
        <w:tc>
          <w:tcPr>
            <w:tcW w:type="dxa" w:w="5953"/>
            <w:vAlign w:val="center"/>
          </w:tcPr>
          <w:p>
            <w:r>
              <w:rPr>
                <w:rFonts w:ascii="Arial" w:hAnsi="Arial"/>
                <w:color w:val="444444"/>
                <w:sz w:val="19"/>
              </w:rPr>
              <w:t>IPIP-NEO 是五大主流测评工具中科学效度最高的，优先推荐</w:t>
            </w:r>
          </w:p>
        </w:tc>
        <w:tc>
          <w:tcPr>
            <w:tcW w:type="dxa" w:w="1247"/>
            <w:vAlign w:val="center"/>
          </w:tcPr>
          <w:p>
            <w:r>
              <w:rPr>
                <w:rFonts w:ascii="Arial" w:hAnsi="Arial"/>
                <w:color w:val="444444"/>
                <w:sz w:val="19"/>
              </w:rPr>
              <w:t>🟢 低</w:t>
            </w:r>
          </w:p>
        </w:tc>
      </w:tr>
      <w:tr>
        <w:tc>
          <w:tcPr>
            <w:tcW w:type="dxa" w:w="1984"/>
            <w:vAlign w:val="center"/>
          </w:tcPr>
          <w:p>
            <w:r>
              <w:rPr>
                <w:rFonts w:ascii="Arial" w:hAnsi="Arial"/>
                <w:color w:val="444444"/>
                <w:sz w:val="19"/>
              </w:rPr>
              <w:t>市场本地化</w:t>
            </w:r>
          </w:p>
        </w:tc>
        <w:tc>
          <w:tcPr>
            <w:tcW w:type="dxa" w:w="5953"/>
            <w:vAlign w:val="center"/>
          </w:tcPr>
          <w:p>
            <w:r>
              <w:rPr>
                <w:rFonts w:ascii="Arial" w:hAnsi="Arial"/>
                <w:color w:val="444444"/>
                <w:sz w:val="19"/>
              </w:rPr>
              <w:t>大五结构在集体主义文化中存在局部偏差，需做定向适配</w:t>
            </w:r>
          </w:p>
        </w:tc>
        <w:tc>
          <w:tcPr>
            <w:tcW w:type="dxa" w:w="1247"/>
            <w:vAlign w:val="center"/>
          </w:tcPr>
          <w:p>
            <w:r>
              <w:rPr>
                <w:rFonts w:ascii="Arial" w:hAnsi="Arial"/>
                <w:color w:val="444444"/>
                <w:sz w:val="19"/>
              </w:rPr>
              <w:t>🟡 中</w:t>
            </w:r>
          </w:p>
        </w:tc>
      </w:tr>
      <w:tr>
        <w:tc>
          <w:tcPr>
            <w:tcW w:type="dxa" w:w="1984"/>
            <w:vAlign w:val="center"/>
          </w:tcPr>
          <w:p>
            <w:r>
              <w:rPr>
                <w:rFonts w:ascii="Arial" w:hAnsi="Arial"/>
                <w:color w:val="444444"/>
                <w:sz w:val="19"/>
              </w:rPr>
              <w:t>AI化改造空间</w:t>
            </w:r>
          </w:p>
        </w:tc>
        <w:tc>
          <w:tcPr>
            <w:tcW w:type="dxa" w:w="5953"/>
            <w:vAlign w:val="center"/>
          </w:tcPr>
          <w:p>
            <w:r>
              <w:rPr>
                <w:rFonts w:ascii="Arial" w:hAnsi="Arial"/>
                <w:color w:val="444444"/>
                <w:sz w:val="19"/>
              </w:rPr>
              <w:t>从题目数量到报告生成全链路均有成熟改造路径，空间极大</w:t>
            </w:r>
          </w:p>
        </w:tc>
        <w:tc>
          <w:tcPr>
            <w:tcW w:type="dxa" w:w="1247"/>
            <w:vAlign w:val="center"/>
          </w:tcPr>
          <w:p>
            <w:r>
              <w:rPr>
                <w:rFonts w:ascii="Arial" w:hAnsi="Arial"/>
                <w:color w:val="444444"/>
                <w:sz w:val="19"/>
              </w:rPr>
              <w:t>🟢 低</w:t>
            </w:r>
          </w:p>
        </w:tc>
      </w:tr>
      <w:tr>
        <w:tc>
          <w:tcPr>
            <w:tcW w:type="dxa" w:w="1984"/>
            <w:vAlign w:val="center"/>
          </w:tcPr>
          <w:p>
            <w:r>
              <w:rPr>
                <w:rFonts w:ascii="Arial" w:hAnsi="Arial"/>
                <w:color w:val="444444"/>
                <w:sz w:val="19"/>
              </w:rPr>
              <w:t>商业化落地</w:t>
            </w:r>
          </w:p>
        </w:tc>
        <w:tc>
          <w:tcPr>
            <w:tcW w:type="dxa" w:w="5953"/>
            <w:vAlign w:val="center"/>
          </w:tcPr>
          <w:p>
            <w:r>
              <w:rPr>
                <w:rFonts w:ascii="Arial" w:hAnsi="Arial"/>
                <w:color w:val="444444"/>
                <w:sz w:val="19"/>
              </w:rPr>
              <w:t>全球市场107亿美元且 12.7% CAGR，定价模型已有成功先例</w:t>
            </w:r>
          </w:p>
        </w:tc>
        <w:tc>
          <w:tcPr>
            <w:tcW w:type="dxa" w:w="1247"/>
            <w:vAlign w:val="center"/>
          </w:tcPr>
          <w:p>
            <w:r>
              <w:rPr>
                <w:rFonts w:ascii="Arial" w:hAnsi="Arial"/>
                <w:color w:val="444444"/>
                <w:sz w:val="19"/>
              </w:rPr>
              <w:t>🟢 低</w:t>
            </w:r>
          </w:p>
        </w:tc>
      </w:tr>
    </w:tbl>
    <w:p>
      <w:pPr>
        <w:spacing w:after="0" w:before="0"/>
      </w:pPr>
    </w:p>
    <w:p>
      <w:pPr>
        <w:spacing w:before="120" w:after="120"/>
        <w:ind w:left="170" w:right="170"/>
        <w:shd w:val="clear" w:color="auto" w:fill="D6E4F0"/>
      </w:pPr>
      <w:r>
        <w:rPr>
          <w:rFonts w:ascii="Arial" w:hAnsi="Arial"/>
          <w:b/>
          <w:color w:val="1F497D"/>
          <w:sz w:val="21"/>
        </w:rPr>
        <w:t xml:space="preserve">📋 总结论  </w:t>
      </w:r>
      <w:r>
        <w:rPr>
          <w:rFonts w:ascii="Arial" w:hAnsi="Arial"/>
          <w:color w:val="444444"/>
          <w:sz w:val="21"/>
        </w:rPr>
        <w:t>IPIP-NEO 是当前可选方案中综合最优的问卷底层框架。核心优势（科学效度高、开源免费、大量AI改造先例）远大于其劣势（集体主义文化下的局部题目偏差）。建议以IPIP-NEO-120作为基础，辅以Holland RIASEC兴趣模块，并在AI层做动态适配。</w:t>
      </w:r>
    </w:p>
    <w:p>
      <w:r>
        <w:br w:type="page"/>
      </w:r>
    </w:p>
    <w:p>
      <w:pPr>
        <w:pStyle w:val="Heading1"/>
        <w:jc w:val="left"/>
      </w:pPr>
      <w:r>
        <w:rPr>
          <w:rFonts w:ascii="Arial" w:hAnsi="Arial"/>
          <w:color w:val="1F497D"/>
          <w:sz w:val="32"/>
        </w:rPr>
        <w:t>一、与主流替代方案科学对比</w:t>
      </w:r>
    </w:p>
    <w:p>
      <w:pPr>
        <w:spacing w:after="80"/>
      </w:pPr>
      <w:r>
        <w:rPr>
          <w:rFonts w:ascii="Arial" w:hAnsi="Arial"/>
          <w:b w:val="0"/>
          <w:color w:val="444444"/>
          <w:sz w:val="21"/>
        </w:rPr>
        <w:t>我们对比了职场上五大主流人格测评框架，从信效度、职业预测力与学术认可度三个维度进行系统评分。</w:t>
      </w:r>
    </w:p>
    <w:p>
      <w:pPr>
        <w:spacing w:after="0" w:before="0"/>
      </w:pPr>
    </w:p>
    <w:p>
      <w:pPr>
        <w:pStyle w:val="Heading2"/>
        <w:jc w:val="left"/>
      </w:pPr>
      <w:r>
        <w:rPr>
          <w:rFonts w:ascii="Arial" w:hAnsi="Arial"/>
          <w:color w:val="2E75B6"/>
          <w:sz w:val="26"/>
        </w:rPr>
        <w:t>1.1 五大框架综合对比矩阵</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814"/>
            <w:vAlign w:val="center"/>
            <w:shd w:val="clear" w:color="auto" w:fill="2E75B6"/>
          </w:tcPr>
          <w:p>
            <w:pPr>
              <w:jc w:val="center"/>
            </w:pPr>
            <w:r>
              <w:rPr>
                <w:rFonts w:ascii="Arial" w:hAnsi="Arial"/>
                <w:b/>
                <w:color w:val="FFFFFF"/>
                <w:sz w:val="19"/>
              </w:rPr>
              <w:t>框架</w:t>
            </w:r>
          </w:p>
        </w:tc>
        <w:tc>
          <w:tcPr>
            <w:tcW w:type="dxa" w:w="1417"/>
            <w:vAlign w:val="center"/>
            <w:shd w:val="clear" w:color="auto" w:fill="2E75B6"/>
          </w:tcPr>
          <w:p>
            <w:pPr>
              <w:jc w:val="center"/>
            </w:pPr>
            <w:r>
              <w:rPr>
                <w:rFonts w:ascii="Arial" w:hAnsi="Arial"/>
                <w:b/>
                <w:color w:val="FFFFFF"/>
                <w:sz w:val="19"/>
              </w:rPr>
              <w:t>Cronbach α</w:t>
            </w:r>
          </w:p>
        </w:tc>
        <w:tc>
          <w:tcPr>
            <w:tcW w:type="dxa" w:w="1701"/>
            <w:vAlign w:val="center"/>
            <w:shd w:val="clear" w:color="auto" w:fill="2E75B6"/>
          </w:tcPr>
          <w:p>
            <w:pPr>
              <w:jc w:val="center"/>
            </w:pPr>
            <w:r>
              <w:rPr>
                <w:rFonts w:ascii="Arial" w:hAnsi="Arial"/>
                <w:b/>
                <w:color w:val="FFFFFF"/>
                <w:sz w:val="19"/>
              </w:rPr>
              <w:t>重测信度</w:t>
            </w:r>
          </w:p>
        </w:tc>
        <w:tc>
          <w:tcPr>
            <w:tcW w:type="dxa" w:w="1984"/>
            <w:vAlign w:val="center"/>
            <w:shd w:val="clear" w:color="auto" w:fill="2E75B6"/>
          </w:tcPr>
          <w:p>
            <w:pPr>
              <w:jc w:val="center"/>
            </w:pPr>
            <w:r>
              <w:rPr>
                <w:rFonts w:ascii="Arial" w:hAnsi="Arial"/>
                <w:b/>
                <w:color w:val="FFFFFF"/>
                <w:sz w:val="19"/>
              </w:rPr>
              <w:t>职业绩效预测 r</w:t>
            </w:r>
          </w:p>
        </w:tc>
        <w:tc>
          <w:tcPr>
            <w:tcW w:type="dxa" w:w="1247"/>
            <w:vAlign w:val="center"/>
            <w:shd w:val="clear" w:color="auto" w:fill="2E75B6"/>
          </w:tcPr>
          <w:p>
            <w:pPr>
              <w:jc w:val="center"/>
            </w:pPr>
            <w:r>
              <w:rPr>
                <w:rFonts w:ascii="Arial" w:hAnsi="Arial"/>
                <w:b/>
                <w:color w:val="FFFFFF"/>
                <w:sz w:val="19"/>
              </w:rPr>
              <w:t>题目数量</w:t>
            </w:r>
          </w:p>
        </w:tc>
        <w:tc>
          <w:tcPr>
            <w:tcW w:type="dxa" w:w="1020"/>
            <w:vAlign w:val="center"/>
            <w:shd w:val="clear" w:color="auto" w:fill="2E75B6"/>
          </w:tcPr>
          <w:p>
            <w:pPr>
              <w:jc w:val="center"/>
            </w:pPr>
            <w:r>
              <w:rPr>
                <w:rFonts w:ascii="Arial" w:hAnsi="Arial"/>
                <w:b/>
                <w:color w:val="FFFFFF"/>
                <w:sz w:val="19"/>
              </w:rPr>
              <w:t>学术认可</w:t>
            </w:r>
          </w:p>
        </w:tc>
      </w:tr>
      <w:tr>
        <w:tc>
          <w:tcPr>
            <w:tcW w:type="dxa" w:w="1814"/>
            <w:vAlign w:val="center"/>
          </w:tcPr>
          <w:p>
            <w:r>
              <w:rPr>
                <w:rFonts w:ascii="Arial" w:hAnsi="Arial"/>
                <w:color w:val="444444"/>
                <w:sz w:val="19"/>
              </w:rPr>
              <w:t>IPIP-NEO（大五）</w:t>
            </w:r>
          </w:p>
        </w:tc>
        <w:tc>
          <w:tcPr>
            <w:tcW w:type="dxa" w:w="1417"/>
            <w:vAlign w:val="center"/>
          </w:tcPr>
          <w:p>
            <w:r>
              <w:rPr>
                <w:rFonts w:ascii="Arial" w:hAnsi="Arial"/>
                <w:color w:val="444444"/>
                <w:sz w:val="19"/>
              </w:rPr>
              <w:t>0.75–0.87</w:t>
            </w:r>
          </w:p>
        </w:tc>
        <w:tc>
          <w:tcPr>
            <w:tcW w:type="dxa" w:w="1701"/>
            <w:vAlign w:val="center"/>
          </w:tcPr>
          <w:p>
            <w:r>
              <w:rPr>
                <w:rFonts w:ascii="Arial" w:hAnsi="Arial"/>
                <w:color w:val="444444"/>
                <w:sz w:val="19"/>
              </w:rPr>
              <w:t>0.63–0.92</w:t>
            </w:r>
          </w:p>
        </w:tc>
        <w:tc>
          <w:tcPr>
            <w:tcW w:type="dxa" w:w="1984"/>
            <w:vAlign w:val="center"/>
          </w:tcPr>
          <w:p>
            <w:r>
              <w:rPr>
                <w:rFonts w:ascii="Arial" w:hAnsi="Arial"/>
                <w:color w:val="444444"/>
                <w:sz w:val="19"/>
              </w:rPr>
              <w:t>0.22（尽责性）★</w:t>
            </w:r>
          </w:p>
        </w:tc>
        <w:tc>
          <w:tcPr>
            <w:tcW w:type="dxa" w:w="1247"/>
            <w:vAlign w:val="center"/>
          </w:tcPr>
          <w:p>
            <w:r>
              <w:rPr>
                <w:rFonts w:ascii="Arial" w:hAnsi="Arial"/>
                <w:color w:val="444444"/>
                <w:sz w:val="19"/>
              </w:rPr>
              <w:t>60/120/300</w:t>
            </w:r>
          </w:p>
        </w:tc>
        <w:tc>
          <w:tcPr>
            <w:tcW w:type="dxa" w:w="1020"/>
            <w:vAlign w:val="center"/>
          </w:tcPr>
          <w:p>
            <w:r>
              <w:rPr>
                <w:rFonts w:ascii="Arial" w:hAnsi="Arial"/>
                <w:color w:val="444444"/>
                <w:sz w:val="19"/>
              </w:rPr>
              <w:t>⭐⭐⭐⭐⭐</w:t>
            </w:r>
          </w:p>
        </w:tc>
      </w:tr>
      <w:tr>
        <w:tc>
          <w:tcPr>
            <w:tcW w:type="dxa" w:w="1814"/>
            <w:vAlign w:val="center"/>
          </w:tcPr>
          <w:p>
            <w:r>
              <w:rPr>
                <w:rFonts w:ascii="Arial" w:hAnsi="Arial"/>
                <w:color w:val="444444"/>
                <w:sz w:val="19"/>
              </w:rPr>
              <w:t>MBTI / 16P</w:t>
            </w:r>
          </w:p>
        </w:tc>
        <w:tc>
          <w:tcPr>
            <w:tcW w:type="dxa" w:w="1417"/>
            <w:vAlign w:val="center"/>
          </w:tcPr>
          <w:p>
            <w:r>
              <w:rPr>
                <w:rFonts w:ascii="Arial" w:hAnsi="Arial"/>
                <w:color w:val="444444"/>
                <w:sz w:val="19"/>
              </w:rPr>
              <w:t>0.80–0.87</w:t>
            </w:r>
          </w:p>
        </w:tc>
        <w:tc>
          <w:tcPr>
            <w:tcW w:type="dxa" w:w="1701"/>
            <w:vAlign w:val="center"/>
          </w:tcPr>
          <w:p>
            <w:r>
              <w:rPr>
                <w:rFonts w:ascii="Arial" w:hAnsi="Arial"/>
                <w:color w:val="444444"/>
                <w:sz w:val="19"/>
              </w:rPr>
              <w:t>5周内50%换型</w:t>
            </w:r>
          </w:p>
        </w:tc>
        <w:tc>
          <w:tcPr>
            <w:tcW w:type="dxa" w:w="1984"/>
            <w:vAlign w:val="center"/>
          </w:tcPr>
          <w:p>
            <w:r>
              <w:rPr>
                <w:rFonts w:ascii="Arial" w:hAnsi="Arial"/>
                <w:color w:val="444444"/>
                <w:sz w:val="19"/>
              </w:rPr>
              <w:t>极低，无预测效度</w:t>
            </w:r>
          </w:p>
        </w:tc>
        <w:tc>
          <w:tcPr>
            <w:tcW w:type="dxa" w:w="1247"/>
            <w:vAlign w:val="center"/>
          </w:tcPr>
          <w:p>
            <w:r>
              <w:rPr>
                <w:rFonts w:ascii="Arial" w:hAnsi="Arial"/>
                <w:color w:val="444444"/>
                <w:sz w:val="19"/>
              </w:rPr>
              <w:t>~93</w:t>
            </w:r>
          </w:p>
        </w:tc>
        <w:tc>
          <w:tcPr>
            <w:tcW w:type="dxa" w:w="1020"/>
            <w:vAlign w:val="center"/>
          </w:tcPr>
          <w:p>
            <w:r>
              <w:rPr>
                <w:rFonts w:ascii="Arial" w:hAnsi="Arial"/>
                <w:color w:val="444444"/>
                <w:sz w:val="19"/>
              </w:rPr>
              <w:t>⭐⭐</w:t>
            </w:r>
          </w:p>
        </w:tc>
      </w:tr>
      <w:tr>
        <w:tc>
          <w:tcPr>
            <w:tcW w:type="dxa" w:w="1814"/>
            <w:vAlign w:val="center"/>
          </w:tcPr>
          <w:p>
            <w:r>
              <w:rPr>
                <w:rFonts w:ascii="Arial" w:hAnsi="Arial"/>
                <w:color w:val="444444"/>
                <w:sz w:val="19"/>
              </w:rPr>
              <w:t>Holland RIASEC</w:t>
            </w:r>
          </w:p>
        </w:tc>
        <w:tc>
          <w:tcPr>
            <w:tcW w:type="dxa" w:w="1417"/>
            <w:vAlign w:val="center"/>
          </w:tcPr>
          <w:p>
            <w:r>
              <w:rPr>
                <w:rFonts w:ascii="Arial" w:hAnsi="Arial"/>
                <w:color w:val="444444"/>
                <w:sz w:val="19"/>
              </w:rPr>
              <w:t>0.60–0.89</w:t>
            </w:r>
          </w:p>
        </w:tc>
        <w:tc>
          <w:tcPr>
            <w:tcW w:type="dxa" w:w="1701"/>
            <w:vAlign w:val="center"/>
          </w:tcPr>
          <w:p>
            <w:r>
              <w:rPr>
                <w:rFonts w:ascii="Arial" w:hAnsi="Arial"/>
                <w:color w:val="444444"/>
                <w:sz w:val="19"/>
              </w:rPr>
              <w:t>较稳定</w:t>
            </w:r>
          </w:p>
        </w:tc>
        <w:tc>
          <w:tcPr>
            <w:tcW w:type="dxa" w:w="1984"/>
            <w:vAlign w:val="center"/>
          </w:tcPr>
          <w:p>
            <w:r>
              <w:rPr>
                <w:rFonts w:ascii="Arial" w:hAnsi="Arial"/>
                <w:color w:val="444444"/>
                <w:sz w:val="19"/>
              </w:rPr>
              <w:t>中等（职业类型）</w:t>
            </w:r>
          </w:p>
        </w:tc>
        <w:tc>
          <w:tcPr>
            <w:tcW w:type="dxa" w:w="1247"/>
            <w:vAlign w:val="center"/>
          </w:tcPr>
          <w:p>
            <w:r>
              <w:rPr>
                <w:rFonts w:ascii="Arial" w:hAnsi="Arial"/>
                <w:color w:val="444444"/>
                <w:sz w:val="19"/>
              </w:rPr>
              <w:t>可变</w:t>
            </w:r>
          </w:p>
        </w:tc>
        <w:tc>
          <w:tcPr>
            <w:tcW w:type="dxa" w:w="1020"/>
            <w:vAlign w:val="center"/>
          </w:tcPr>
          <w:p>
            <w:r>
              <w:rPr>
                <w:rFonts w:ascii="Arial" w:hAnsi="Arial"/>
                <w:color w:val="444444"/>
                <w:sz w:val="19"/>
              </w:rPr>
              <w:t>⭐⭐⭐⭐</w:t>
            </w:r>
          </w:p>
        </w:tc>
      </w:tr>
      <w:tr>
        <w:tc>
          <w:tcPr>
            <w:tcW w:type="dxa" w:w="1814"/>
            <w:vAlign w:val="center"/>
          </w:tcPr>
          <w:p>
            <w:r>
              <w:rPr>
                <w:rFonts w:ascii="Arial" w:hAnsi="Arial"/>
                <w:color w:val="444444"/>
                <w:sz w:val="19"/>
              </w:rPr>
              <w:t>DISC</w:t>
            </w:r>
          </w:p>
        </w:tc>
        <w:tc>
          <w:tcPr>
            <w:tcW w:type="dxa" w:w="1417"/>
            <w:vAlign w:val="center"/>
          </w:tcPr>
          <w:p>
            <w:r>
              <w:rPr>
                <w:rFonts w:ascii="Arial" w:hAnsi="Arial"/>
                <w:color w:val="444444"/>
                <w:sz w:val="19"/>
              </w:rPr>
              <w:t>中位数 0.87</w:t>
            </w:r>
          </w:p>
        </w:tc>
        <w:tc>
          <w:tcPr>
            <w:tcW w:type="dxa" w:w="1701"/>
            <w:vAlign w:val="center"/>
          </w:tcPr>
          <w:p>
            <w:r>
              <w:rPr>
                <w:rFonts w:ascii="Arial" w:hAnsi="Arial"/>
                <w:color w:val="444444"/>
                <w:sz w:val="19"/>
              </w:rPr>
              <w:t>中位数 0.86</w:t>
            </w:r>
          </w:p>
        </w:tc>
        <w:tc>
          <w:tcPr>
            <w:tcW w:type="dxa" w:w="1984"/>
            <w:vAlign w:val="center"/>
          </w:tcPr>
          <w:p>
            <w:r>
              <w:rPr>
                <w:rFonts w:ascii="Arial" w:hAnsi="Arial"/>
                <w:color w:val="444444"/>
                <w:sz w:val="19"/>
              </w:rPr>
              <w:t>无工作绩效预测</w:t>
            </w:r>
          </w:p>
        </w:tc>
        <w:tc>
          <w:tcPr>
            <w:tcW w:type="dxa" w:w="1247"/>
            <w:vAlign w:val="center"/>
          </w:tcPr>
          <w:p>
            <w:r>
              <w:rPr>
                <w:rFonts w:ascii="Arial" w:hAnsi="Arial"/>
                <w:color w:val="444444"/>
                <w:sz w:val="19"/>
              </w:rPr>
              <w:t>30–40</w:t>
            </w:r>
          </w:p>
        </w:tc>
        <w:tc>
          <w:tcPr>
            <w:tcW w:type="dxa" w:w="1020"/>
            <w:vAlign w:val="center"/>
          </w:tcPr>
          <w:p>
            <w:r>
              <w:rPr>
                <w:rFonts w:ascii="Arial" w:hAnsi="Arial"/>
                <w:color w:val="444444"/>
                <w:sz w:val="19"/>
              </w:rPr>
              <w:t>⭐⭐⭐</w:t>
            </w:r>
          </w:p>
        </w:tc>
      </w:tr>
      <w:tr>
        <w:tc>
          <w:tcPr>
            <w:tcW w:type="dxa" w:w="1814"/>
            <w:vAlign w:val="center"/>
          </w:tcPr>
          <w:p>
            <w:r>
              <w:rPr>
                <w:rFonts w:ascii="Arial" w:hAnsi="Arial"/>
                <w:color w:val="444444"/>
                <w:sz w:val="19"/>
              </w:rPr>
              <w:t>九型人格</w:t>
            </w:r>
          </w:p>
        </w:tc>
        <w:tc>
          <w:tcPr>
            <w:tcW w:type="dxa" w:w="1417"/>
            <w:vAlign w:val="center"/>
          </w:tcPr>
          <w:p>
            <w:r>
              <w:rPr>
                <w:rFonts w:ascii="Arial" w:hAnsi="Arial"/>
                <w:color w:val="444444"/>
                <w:sz w:val="19"/>
              </w:rPr>
              <w:t>混乱不一</w:t>
            </w:r>
          </w:p>
        </w:tc>
        <w:tc>
          <w:tcPr>
            <w:tcW w:type="dxa" w:w="1701"/>
            <w:vAlign w:val="center"/>
          </w:tcPr>
          <w:p>
            <w:r>
              <w:rPr>
                <w:rFonts w:ascii="Arial" w:hAnsi="Arial"/>
                <w:color w:val="444444"/>
                <w:sz w:val="19"/>
              </w:rPr>
              <w:t>不稳定</w:t>
            </w:r>
          </w:p>
        </w:tc>
        <w:tc>
          <w:tcPr>
            <w:tcW w:type="dxa" w:w="1984"/>
            <w:vAlign w:val="center"/>
          </w:tcPr>
          <w:p>
            <w:r>
              <w:rPr>
                <w:rFonts w:ascii="Arial" w:hAnsi="Arial"/>
                <w:color w:val="444444"/>
                <w:sz w:val="19"/>
              </w:rPr>
              <w:t>无科学证据</w:t>
            </w:r>
          </w:p>
        </w:tc>
        <w:tc>
          <w:tcPr>
            <w:tcW w:type="dxa" w:w="1247"/>
            <w:vAlign w:val="center"/>
          </w:tcPr>
          <w:p>
            <w:r>
              <w:rPr>
                <w:rFonts w:ascii="Arial" w:hAnsi="Arial"/>
                <w:color w:val="444444"/>
                <w:sz w:val="19"/>
              </w:rPr>
              <w:t>可变</w:t>
            </w:r>
          </w:p>
        </w:tc>
        <w:tc>
          <w:tcPr>
            <w:tcW w:type="dxa" w:w="1020"/>
            <w:vAlign w:val="center"/>
          </w:tcPr>
          <w:p>
            <w:r>
              <w:rPr>
                <w:rFonts w:ascii="Arial" w:hAnsi="Arial"/>
                <w:color w:val="444444"/>
                <w:sz w:val="19"/>
              </w:rPr>
              <w:t>⭐</w:t>
            </w:r>
          </w:p>
        </w:tc>
      </w:tr>
    </w:tbl>
    <w:p>
      <w:pPr>
        <w:spacing w:after="0" w:before="0"/>
      </w:pPr>
    </w:p>
    <w:p>
      <w:pPr>
        <w:spacing w:after="80"/>
      </w:pPr>
      <w:r>
        <w:rPr>
          <w:rFonts w:ascii="Arial" w:hAnsi="Arial"/>
          <w:b w:val="0"/>
          <w:color w:val="444444"/>
          <w:sz w:val="21"/>
        </w:rPr>
        <w:t>★ 元分析覆盖100万+参与者，尽责性在 98% 的职业类型中显著预测工作绩效（Schmidt &amp; Hunter, 1998）。</w:t>
      </w:r>
    </w:p>
    <w:p>
      <w:pPr>
        <w:spacing w:after="0" w:before="0"/>
      </w:pPr>
    </w:p>
    <w:p>
      <w:pPr>
        <w:pStyle w:val="Heading2"/>
        <w:jc w:val="left"/>
      </w:pPr>
      <w:r>
        <w:rPr>
          <w:rFonts w:ascii="Arial" w:hAnsi="Arial"/>
          <w:color w:val="2E75B6"/>
          <w:sz w:val="26"/>
        </w:rPr>
        <w:t>1.2 关键科学结论</w:t>
      </w:r>
    </w:p>
    <w:p>
      <w:pPr>
        <w:pStyle w:val="ListBullet"/>
        <w:spacing w:after="60"/>
        <w:ind w:left="454"/>
      </w:pPr>
      <w:r>
        <w:rPr>
          <w:rFonts w:ascii="Arial" w:hAnsi="Arial"/>
          <w:color w:val="444444"/>
          <w:sz w:val="21"/>
        </w:rPr>
        <w:t>IPIP-NEO 是唯一在全球超过50个国家、数千项同行评审研究中被持续验证的框架，属学术心理学金标准。</w:t>
      </w:r>
    </w:p>
    <w:p>
      <w:pPr>
        <w:pStyle w:val="ListBullet"/>
        <w:spacing w:after="60"/>
        <w:ind w:left="454"/>
      </w:pPr>
      <w:r>
        <w:rPr>
          <w:rFonts w:ascii="Arial" w:hAnsi="Arial"/>
          <w:color w:val="444444"/>
          <w:sz w:val="21"/>
        </w:rPr>
        <w:t>MBTI 最大缺陷：5周内有 50% 用户在重测时获得完全不同的类型，该问题在学界已有定论，不适合作为严肃职业决策依据。</w:t>
      </w:r>
    </w:p>
    <w:p>
      <w:pPr>
        <w:pStyle w:val="ListBullet"/>
        <w:spacing w:after="60"/>
        <w:ind w:left="454"/>
      </w:pPr>
      <w:r>
        <w:rPr>
          <w:rFonts w:ascii="Arial" w:hAnsi="Arial"/>
          <w:color w:val="444444"/>
          <w:sz w:val="21"/>
        </w:rPr>
        <w:t>Holland RIASEC 是最强补充工具——它预测的是“你喜欢什么类型的工作”，而大五预测的是“你能做好什么”，两者互补而非竞争。</w:t>
      </w:r>
    </w:p>
    <w:p>
      <w:pPr>
        <w:pStyle w:val="ListBullet"/>
        <w:spacing w:after="60"/>
        <w:ind w:left="454"/>
      </w:pPr>
      <w:r>
        <w:rPr>
          <w:rFonts w:ascii="Arial" w:hAnsi="Arial"/>
          <w:color w:val="444444"/>
          <w:sz w:val="21"/>
        </w:rPr>
        <w:t>DISC 在企业培训场景受欢迎，但缺乏独立同行评审研究，职业预测效度低，不宜单独作为底层框架。</w:t>
      </w:r>
    </w:p>
    <w:p>
      <w:pPr>
        <w:pStyle w:val="ListBullet"/>
        <w:spacing w:after="60"/>
        <w:ind w:left="454"/>
      </w:pPr>
      <w:r>
        <w:rPr>
          <w:rFonts w:ascii="Arial" w:hAnsi="Arial"/>
          <w:color w:val="444444"/>
          <w:sz w:val="21"/>
        </w:rPr>
        <w:t>九型人格在学界被归类为伪科学，在职业决策场景中存在系统性误导风险。</w:t>
      </w:r>
    </w:p>
    <w:p>
      <w:pPr>
        <w:spacing w:after="0" w:before="0"/>
      </w:pPr>
    </w:p>
    <w:p>
      <w:pPr>
        <w:spacing w:before="120" w:after="120"/>
        <w:ind w:left="170" w:right="170"/>
        <w:shd w:val="clear" w:color="auto" w:fill="D6E4F0"/>
      </w:pPr>
      <w:r>
        <w:rPr>
          <w:rFonts w:ascii="Arial" w:hAnsi="Arial"/>
          <w:b/>
          <w:color w:val="1F497D"/>
          <w:sz w:val="21"/>
        </w:rPr>
        <w:t xml:space="preserve">✅ 第一部分结论  </w:t>
      </w:r>
      <w:r>
        <w:rPr>
          <w:rFonts w:ascii="Arial" w:hAnsi="Arial"/>
          <w:color w:val="444444"/>
          <w:sz w:val="21"/>
        </w:rPr>
        <w:t>IPIP-NEO（大五人格）是五大框架中科学信效度最高、职业预测力最强、学术认可度最广的方案。建议以 IPIP-NEO-120 为核心题库，辅以Holland RIASEC兴趣量表作为职业方向补充模块。</w:t>
      </w:r>
    </w:p>
    <w:p>
      <w:r>
        <w:br w:type="page"/>
      </w:r>
    </w:p>
    <w:p>
      <w:pPr>
        <w:pStyle w:val="Heading1"/>
        <w:jc w:val="left"/>
      </w:pPr>
      <w:r>
        <w:rPr>
          <w:rFonts w:ascii="Arial" w:hAnsi="Arial"/>
          <w:color w:val="1F497D"/>
          <w:sz w:val="32"/>
        </w:rPr>
        <w:t>二、目标市场本地化适配性分析</w:t>
      </w:r>
    </w:p>
    <w:p>
      <w:pPr>
        <w:spacing w:after="80"/>
      </w:pPr>
      <w:r>
        <w:rPr>
          <w:rFonts w:ascii="Arial" w:hAnsi="Arial"/>
          <w:b w:val="0"/>
          <w:color w:val="444444"/>
          <w:sz w:val="21"/>
        </w:rPr>
        <w:t>大五人格框架虽然在全球范围内被广泛应用，但在集体主义文化背景下存在若干可识别的测量偏差。本章节对印度、东南亚、巴西三大目标市场逐一进行文化适配评估。</w:t>
      </w:r>
    </w:p>
    <w:p>
      <w:pPr>
        <w:spacing w:after="0" w:before="0"/>
      </w:pPr>
    </w:p>
    <w:p>
      <w:pPr>
        <w:pStyle w:val="Heading2"/>
        <w:jc w:val="left"/>
      </w:pPr>
      <w:r>
        <w:rPr>
          <w:rFonts w:ascii="Arial" w:hAnsi="Arial"/>
          <w:color w:val="2E75B6"/>
          <w:sz w:val="26"/>
        </w:rPr>
        <w:t>2.1 Hofstede 文化维度与测量风险对照</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361"/>
            <w:vAlign w:val="center"/>
            <w:shd w:val="clear" w:color="auto" w:fill="2E75B6"/>
          </w:tcPr>
          <w:p>
            <w:pPr>
              <w:jc w:val="center"/>
            </w:pPr>
            <w:r>
              <w:rPr>
                <w:rFonts w:ascii="Arial" w:hAnsi="Arial"/>
                <w:b/>
                <w:color w:val="FFFFFF"/>
                <w:sz w:val="19"/>
              </w:rPr>
              <w:t>市场</w:t>
            </w:r>
          </w:p>
        </w:tc>
        <w:tc>
          <w:tcPr>
            <w:tcW w:type="dxa" w:w="1247"/>
            <w:vAlign w:val="center"/>
            <w:shd w:val="clear" w:color="auto" w:fill="2E75B6"/>
          </w:tcPr>
          <w:p>
            <w:pPr>
              <w:jc w:val="center"/>
            </w:pPr>
            <w:r>
              <w:rPr>
                <w:rFonts w:ascii="Arial" w:hAnsi="Arial"/>
                <w:b/>
                <w:color w:val="FFFFFF"/>
                <w:sz w:val="19"/>
              </w:rPr>
              <w:t>权力距离</w:t>
              <w:br/>
              <w:t>PDI</w:t>
            </w:r>
          </w:p>
        </w:tc>
        <w:tc>
          <w:tcPr>
            <w:tcW w:type="dxa" w:w="1417"/>
            <w:vAlign w:val="center"/>
            <w:shd w:val="clear" w:color="auto" w:fill="2E75B6"/>
          </w:tcPr>
          <w:p>
            <w:pPr>
              <w:jc w:val="center"/>
            </w:pPr>
            <w:r>
              <w:rPr>
                <w:rFonts w:ascii="Arial" w:hAnsi="Arial"/>
                <w:b/>
                <w:color w:val="FFFFFF"/>
                <w:sz w:val="19"/>
              </w:rPr>
              <w:t>集体主义</w:t>
              <w:br/>
              <w:t>IDV↓</w:t>
            </w:r>
          </w:p>
        </w:tc>
        <w:tc>
          <w:tcPr>
            <w:tcW w:type="dxa" w:w="1417"/>
            <w:vAlign w:val="center"/>
            <w:shd w:val="clear" w:color="auto" w:fill="2E75B6"/>
          </w:tcPr>
          <w:p>
            <w:pPr>
              <w:jc w:val="center"/>
            </w:pPr>
            <w:r>
              <w:rPr>
                <w:rFonts w:ascii="Arial" w:hAnsi="Arial"/>
                <w:b/>
                <w:color w:val="FFFFFF"/>
                <w:sz w:val="19"/>
              </w:rPr>
              <w:t>不确定性规避</w:t>
              <w:br/>
              <w:t>UAI</w:t>
            </w:r>
          </w:p>
        </w:tc>
        <w:tc>
          <w:tcPr>
            <w:tcW w:type="dxa" w:w="1417"/>
            <w:vAlign w:val="center"/>
            <w:shd w:val="clear" w:color="auto" w:fill="2E75B6"/>
          </w:tcPr>
          <w:p>
            <w:pPr>
              <w:jc w:val="center"/>
            </w:pPr>
            <w:r>
              <w:rPr>
                <w:rFonts w:ascii="Arial" w:hAnsi="Arial"/>
                <w:b/>
                <w:color w:val="FFFFFF"/>
                <w:sz w:val="19"/>
              </w:rPr>
              <w:t>大五结构</w:t>
              <w:br/>
              <w:t>因子一致性</w:t>
            </w:r>
          </w:p>
        </w:tc>
        <w:tc>
          <w:tcPr>
            <w:tcW w:type="dxa" w:w="2324"/>
            <w:vAlign w:val="center"/>
            <w:shd w:val="clear" w:color="auto" w:fill="2E75B6"/>
          </w:tcPr>
          <w:p>
            <w:pPr>
              <w:jc w:val="center"/>
            </w:pPr>
            <w:r>
              <w:rPr>
                <w:rFonts w:ascii="Arial" w:hAnsi="Arial"/>
                <w:b/>
                <w:color w:val="FFFFFF"/>
                <w:sz w:val="19"/>
              </w:rPr>
              <w:t>主要风险</w:t>
            </w:r>
          </w:p>
        </w:tc>
      </w:tr>
      <w:tr>
        <w:tc>
          <w:tcPr>
            <w:tcW w:type="dxa" w:w="1361"/>
            <w:vAlign w:val="center"/>
          </w:tcPr>
          <w:p>
            <w:r>
              <w:rPr>
                <w:rFonts w:ascii="Arial" w:hAnsi="Arial"/>
                <w:color w:val="444444"/>
                <w:sz w:val="19"/>
              </w:rPr>
              <w:t>印度</w:t>
            </w:r>
          </w:p>
        </w:tc>
        <w:tc>
          <w:tcPr>
            <w:tcW w:type="dxa" w:w="1247"/>
            <w:vAlign w:val="center"/>
          </w:tcPr>
          <w:p>
            <w:r>
              <w:rPr>
                <w:rFonts w:ascii="Arial" w:hAnsi="Arial"/>
                <w:color w:val="444444"/>
                <w:sz w:val="19"/>
              </w:rPr>
              <w:t>77</w:t>
            </w:r>
          </w:p>
        </w:tc>
        <w:tc>
          <w:tcPr>
            <w:tcW w:type="dxa" w:w="1417"/>
            <w:vAlign w:val="center"/>
          </w:tcPr>
          <w:p>
            <w:r>
              <w:rPr>
                <w:rFonts w:ascii="Arial" w:hAnsi="Arial"/>
                <w:color w:val="444444"/>
                <w:sz w:val="19"/>
              </w:rPr>
              <w:t>48（中）</w:t>
            </w:r>
          </w:p>
        </w:tc>
        <w:tc>
          <w:tcPr>
            <w:tcW w:type="dxa" w:w="1417"/>
            <w:vAlign w:val="center"/>
          </w:tcPr>
          <w:p>
            <w:r>
              <w:rPr>
                <w:rFonts w:ascii="Arial" w:hAnsi="Arial"/>
                <w:color w:val="444444"/>
                <w:sz w:val="19"/>
              </w:rPr>
              <w:t>40（低）</w:t>
            </w:r>
          </w:p>
        </w:tc>
        <w:tc>
          <w:tcPr>
            <w:tcW w:type="dxa" w:w="1417"/>
            <w:vAlign w:val="center"/>
          </w:tcPr>
          <w:p>
            <w:r>
              <w:rPr>
                <w:rFonts w:ascii="Arial" w:hAnsi="Arial"/>
                <w:color w:val="444444"/>
                <w:sz w:val="19"/>
              </w:rPr>
              <w:t>部分偏差</w:t>
            </w:r>
          </w:p>
        </w:tc>
        <w:tc>
          <w:tcPr>
            <w:tcW w:type="dxa" w:w="2324"/>
            <w:vAlign w:val="center"/>
          </w:tcPr>
          <w:p>
            <w:r>
              <w:rPr>
                <w:rFonts w:ascii="Arial" w:hAnsi="Arial"/>
                <w:color w:val="444444"/>
                <w:sz w:val="19"/>
              </w:rPr>
              <w:t>开放性题目文化相关性低</w:t>
            </w:r>
          </w:p>
        </w:tc>
      </w:tr>
      <w:tr>
        <w:tc>
          <w:tcPr>
            <w:tcW w:type="dxa" w:w="1361"/>
            <w:vAlign w:val="center"/>
          </w:tcPr>
          <w:p>
            <w:r>
              <w:rPr>
                <w:rFonts w:ascii="Arial" w:hAnsi="Arial"/>
                <w:color w:val="444444"/>
                <w:sz w:val="19"/>
              </w:rPr>
              <w:t>印尼</w:t>
            </w:r>
          </w:p>
        </w:tc>
        <w:tc>
          <w:tcPr>
            <w:tcW w:type="dxa" w:w="1247"/>
            <w:vAlign w:val="center"/>
          </w:tcPr>
          <w:p>
            <w:r>
              <w:rPr>
                <w:rFonts w:ascii="Arial" w:hAnsi="Arial"/>
                <w:color w:val="444444"/>
                <w:sz w:val="19"/>
              </w:rPr>
              <w:t>78</w:t>
            </w:r>
          </w:p>
        </w:tc>
        <w:tc>
          <w:tcPr>
            <w:tcW w:type="dxa" w:w="1417"/>
            <w:vAlign w:val="center"/>
          </w:tcPr>
          <w:p>
            <w:r>
              <w:rPr>
                <w:rFonts w:ascii="Arial" w:hAnsi="Arial"/>
                <w:color w:val="444444"/>
                <w:sz w:val="19"/>
              </w:rPr>
              <w:t>14（极高）</w:t>
            </w:r>
          </w:p>
        </w:tc>
        <w:tc>
          <w:tcPr>
            <w:tcW w:type="dxa" w:w="1417"/>
            <w:vAlign w:val="center"/>
          </w:tcPr>
          <w:p>
            <w:r>
              <w:rPr>
                <w:rFonts w:ascii="Arial" w:hAnsi="Arial"/>
                <w:color w:val="444444"/>
                <w:sz w:val="19"/>
              </w:rPr>
              <w:t>48（中）</w:t>
            </w:r>
          </w:p>
        </w:tc>
        <w:tc>
          <w:tcPr>
            <w:tcW w:type="dxa" w:w="1417"/>
            <w:vAlign w:val="center"/>
          </w:tcPr>
          <w:p>
            <w:r>
              <w:rPr>
                <w:rFonts w:ascii="Arial" w:hAnsi="Arial"/>
                <w:color w:val="444444"/>
                <w:sz w:val="19"/>
              </w:rPr>
              <w:t>显著偏差</w:t>
            </w:r>
          </w:p>
        </w:tc>
        <w:tc>
          <w:tcPr>
            <w:tcW w:type="dxa" w:w="2324"/>
            <w:vAlign w:val="center"/>
          </w:tcPr>
          <w:p>
            <w:r>
              <w:rPr>
                <w:rFonts w:ascii="Arial" w:hAnsi="Arial"/>
                <w:color w:val="444444"/>
                <w:sz w:val="19"/>
              </w:rPr>
              <w:t>顺从性偏差，社会期待效应强</w:t>
            </w:r>
          </w:p>
        </w:tc>
      </w:tr>
      <w:tr>
        <w:tc>
          <w:tcPr>
            <w:tcW w:type="dxa" w:w="1361"/>
            <w:vAlign w:val="center"/>
          </w:tcPr>
          <w:p>
            <w:r>
              <w:rPr>
                <w:rFonts w:ascii="Arial" w:hAnsi="Arial"/>
                <w:color w:val="444444"/>
                <w:sz w:val="19"/>
              </w:rPr>
              <w:t>菲律宾</w:t>
            </w:r>
          </w:p>
        </w:tc>
        <w:tc>
          <w:tcPr>
            <w:tcW w:type="dxa" w:w="1247"/>
            <w:vAlign w:val="center"/>
          </w:tcPr>
          <w:p>
            <w:r>
              <w:rPr>
                <w:rFonts w:ascii="Arial" w:hAnsi="Arial"/>
                <w:color w:val="444444"/>
                <w:sz w:val="19"/>
              </w:rPr>
              <w:t>94</w:t>
            </w:r>
          </w:p>
        </w:tc>
        <w:tc>
          <w:tcPr>
            <w:tcW w:type="dxa" w:w="1417"/>
            <w:vAlign w:val="center"/>
          </w:tcPr>
          <w:p>
            <w:r>
              <w:rPr>
                <w:rFonts w:ascii="Arial" w:hAnsi="Arial"/>
                <w:color w:val="444444"/>
                <w:sz w:val="19"/>
              </w:rPr>
              <w:t>32（高）</w:t>
            </w:r>
          </w:p>
        </w:tc>
        <w:tc>
          <w:tcPr>
            <w:tcW w:type="dxa" w:w="1417"/>
            <w:vAlign w:val="center"/>
          </w:tcPr>
          <w:p>
            <w:r>
              <w:rPr>
                <w:rFonts w:ascii="Arial" w:hAnsi="Arial"/>
                <w:color w:val="444444"/>
                <w:sz w:val="19"/>
              </w:rPr>
              <w:t>44（中）</w:t>
            </w:r>
          </w:p>
        </w:tc>
        <w:tc>
          <w:tcPr>
            <w:tcW w:type="dxa" w:w="1417"/>
            <w:vAlign w:val="center"/>
          </w:tcPr>
          <w:p>
            <w:r>
              <w:rPr>
                <w:rFonts w:ascii="Arial" w:hAnsi="Arial"/>
                <w:color w:val="444444"/>
                <w:sz w:val="19"/>
              </w:rPr>
              <w:t>中度偏差</w:t>
            </w:r>
          </w:p>
        </w:tc>
        <w:tc>
          <w:tcPr>
            <w:tcW w:type="dxa" w:w="2324"/>
            <w:vAlign w:val="center"/>
          </w:tcPr>
          <w:p>
            <w:r>
              <w:rPr>
                <w:rFonts w:ascii="Arial" w:hAnsi="Arial"/>
                <w:color w:val="444444"/>
                <w:sz w:val="19"/>
              </w:rPr>
              <w:t>本土人格维度未被大五覆盖</w:t>
            </w:r>
          </w:p>
        </w:tc>
      </w:tr>
      <w:tr>
        <w:tc>
          <w:tcPr>
            <w:tcW w:type="dxa" w:w="1361"/>
            <w:vAlign w:val="center"/>
          </w:tcPr>
          <w:p>
            <w:r>
              <w:rPr>
                <w:rFonts w:ascii="Arial" w:hAnsi="Arial"/>
                <w:color w:val="444444"/>
                <w:sz w:val="19"/>
              </w:rPr>
              <w:t>马来西亚</w:t>
            </w:r>
          </w:p>
        </w:tc>
        <w:tc>
          <w:tcPr>
            <w:tcW w:type="dxa" w:w="1247"/>
            <w:vAlign w:val="center"/>
          </w:tcPr>
          <w:p>
            <w:r>
              <w:rPr>
                <w:rFonts w:ascii="Arial" w:hAnsi="Arial"/>
                <w:color w:val="444444"/>
                <w:sz w:val="19"/>
              </w:rPr>
              <w:t>100</w:t>
            </w:r>
          </w:p>
        </w:tc>
        <w:tc>
          <w:tcPr>
            <w:tcW w:type="dxa" w:w="1417"/>
            <w:vAlign w:val="center"/>
          </w:tcPr>
          <w:p>
            <w:r>
              <w:rPr>
                <w:rFonts w:ascii="Arial" w:hAnsi="Arial"/>
                <w:color w:val="444444"/>
                <w:sz w:val="19"/>
              </w:rPr>
              <w:t>26（高）</w:t>
            </w:r>
          </w:p>
        </w:tc>
        <w:tc>
          <w:tcPr>
            <w:tcW w:type="dxa" w:w="1417"/>
            <w:vAlign w:val="center"/>
          </w:tcPr>
          <w:p>
            <w:r>
              <w:rPr>
                <w:rFonts w:ascii="Arial" w:hAnsi="Arial"/>
                <w:color w:val="444444"/>
                <w:sz w:val="19"/>
              </w:rPr>
              <w:t>36（低）</w:t>
            </w:r>
          </w:p>
        </w:tc>
        <w:tc>
          <w:tcPr>
            <w:tcW w:type="dxa" w:w="1417"/>
            <w:vAlign w:val="center"/>
          </w:tcPr>
          <w:p>
            <w:r>
              <w:rPr>
                <w:rFonts w:ascii="Arial" w:hAnsi="Arial"/>
                <w:color w:val="444444"/>
                <w:sz w:val="19"/>
              </w:rPr>
              <w:t>中度偏差</w:t>
            </w:r>
          </w:p>
        </w:tc>
        <w:tc>
          <w:tcPr>
            <w:tcW w:type="dxa" w:w="2324"/>
            <w:vAlign w:val="center"/>
          </w:tcPr>
          <w:p>
            <w:r>
              <w:rPr>
                <w:rFonts w:ascii="Arial" w:hAnsi="Arial"/>
                <w:color w:val="444444"/>
                <w:sz w:val="19"/>
              </w:rPr>
              <w:t>华人 vs 马来社群测量差异</w:t>
            </w:r>
          </w:p>
        </w:tc>
      </w:tr>
      <w:tr>
        <w:tc>
          <w:tcPr>
            <w:tcW w:type="dxa" w:w="1361"/>
            <w:vAlign w:val="center"/>
          </w:tcPr>
          <w:p>
            <w:r>
              <w:rPr>
                <w:rFonts w:ascii="Arial" w:hAnsi="Arial"/>
                <w:color w:val="444444"/>
                <w:sz w:val="19"/>
              </w:rPr>
              <w:t>新加坡</w:t>
            </w:r>
          </w:p>
        </w:tc>
        <w:tc>
          <w:tcPr>
            <w:tcW w:type="dxa" w:w="1247"/>
            <w:vAlign w:val="center"/>
          </w:tcPr>
          <w:p>
            <w:r>
              <w:rPr>
                <w:rFonts w:ascii="Arial" w:hAnsi="Arial"/>
                <w:color w:val="444444"/>
                <w:sz w:val="19"/>
              </w:rPr>
              <w:t>74</w:t>
            </w:r>
          </w:p>
        </w:tc>
        <w:tc>
          <w:tcPr>
            <w:tcW w:type="dxa" w:w="1417"/>
            <w:vAlign w:val="center"/>
          </w:tcPr>
          <w:p>
            <w:r>
              <w:rPr>
                <w:rFonts w:ascii="Arial" w:hAnsi="Arial"/>
                <w:color w:val="444444"/>
                <w:sz w:val="19"/>
              </w:rPr>
              <w:t>20（高）</w:t>
            </w:r>
          </w:p>
        </w:tc>
        <w:tc>
          <w:tcPr>
            <w:tcW w:type="dxa" w:w="1417"/>
            <w:vAlign w:val="center"/>
          </w:tcPr>
          <w:p>
            <w:r>
              <w:rPr>
                <w:rFonts w:ascii="Arial" w:hAnsi="Arial"/>
                <w:color w:val="444444"/>
                <w:sz w:val="19"/>
              </w:rPr>
              <w:t>8（极低）</w:t>
            </w:r>
          </w:p>
        </w:tc>
        <w:tc>
          <w:tcPr>
            <w:tcW w:type="dxa" w:w="1417"/>
            <w:vAlign w:val="center"/>
          </w:tcPr>
          <w:p>
            <w:r>
              <w:rPr>
                <w:rFonts w:ascii="Arial" w:hAnsi="Arial"/>
                <w:color w:val="444444"/>
                <w:sz w:val="19"/>
              </w:rPr>
              <w:t>基本适用</w:t>
            </w:r>
          </w:p>
        </w:tc>
        <w:tc>
          <w:tcPr>
            <w:tcW w:type="dxa" w:w="2324"/>
            <w:vAlign w:val="center"/>
          </w:tcPr>
          <w:p>
            <w:r>
              <w:rPr>
                <w:rFonts w:ascii="Arial" w:hAnsi="Arial"/>
                <w:color w:val="444444"/>
                <w:sz w:val="19"/>
              </w:rPr>
              <w:t>最接近西方样本，适配性最好</w:t>
            </w:r>
          </w:p>
        </w:tc>
      </w:tr>
      <w:tr>
        <w:tc>
          <w:tcPr>
            <w:tcW w:type="dxa" w:w="1361"/>
            <w:vAlign w:val="center"/>
          </w:tcPr>
          <w:p>
            <w:r>
              <w:rPr>
                <w:rFonts w:ascii="Arial" w:hAnsi="Arial"/>
                <w:color w:val="444444"/>
                <w:sz w:val="19"/>
              </w:rPr>
              <w:t>越南</w:t>
            </w:r>
          </w:p>
        </w:tc>
        <w:tc>
          <w:tcPr>
            <w:tcW w:type="dxa" w:w="1247"/>
            <w:vAlign w:val="center"/>
          </w:tcPr>
          <w:p>
            <w:r>
              <w:rPr>
                <w:rFonts w:ascii="Arial" w:hAnsi="Arial"/>
                <w:color w:val="444444"/>
                <w:sz w:val="19"/>
              </w:rPr>
              <w:t>70</w:t>
            </w:r>
          </w:p>
        </w:tc>
        <w:tc>
          <w:tcPr>
            <w:tcW w:type="dxa" w:w="1417"/>
            <w:vAlign w:val="center"/>
          </w:tcPr>
          <w:p>
            <w:r>
              <w:rPr>
                <w:rFonts w:ascii="Arial" w:hAnsi="Arial"/>
                <w:color w:val="444444"/>
                <w:sz w:val="19"/>
              </w:rPr>
              <w:t>20（高）</w:t>
            </w:r>
          </w:p>
        </w:tc>
        <w:tc>
          <w:tcPr>
            <w:tcW w:type="dxa" w:w="1417"/>
            <w:vAlign w:val="center"/>
          </w:tcPr>
          <w:p>
            <w:r>
              <w:rPr>
                <w:rFonts w:ascii="Arial" w:hAnsi="Arial"/>
                <w:color w:val="444444"/>
                <w:sz w:val="19"/>
              </w:rPr>
              <w:t>30（低）</w:t>
            </w:r>
          </w:p>
        </w:tc>
        <w:tc>
          <w:tcPr>
            <w:tcW w:type="dxa" w:w="1417"/>
            <w:vAlign w:val="center"/>
          </w:tcPr>
          <w:p>
            <w:r>
              <w:rPr>
                <w:rFonts w:ascii="Arial" w:hAnsi="Arial"/>
                <w:color w:val="444444"/>
                <w:sz w:val="19"/>
              </w:rPr>
              <w:t>中度偏差</w:t>
            </w:r>
          </w:p>
        </w:tc>
        <w:tc>
          <w:tcPr>
            <w:tcW w:type="dxa" w:w="2324"/>
            <w:vAlign w:val="center"/>
          </w:tcPr>
          <w:p>
            <w:r>
              <w:rPr>
                <w:rFonts w:ascii="Arial" w:hAnsi="Arial"/>
                <w:color w:val="444444"/>
                <w:sz w:val="19"/>
              </w:rPr>
              <w:t>语言翻译质量是关键变量</w:t>
            </w:r>
          </w:p>
        </w:tc>
      </w:tr>
      <w:tr>
        <w:tc>
          <w:tcPr>
            <w:tcW w:type="dxa" w:w="1361"/>
            <w:vAlign w:val="center"/>
          </w:tcPr>
          <w:p>
            <w:r>
              <w:rPr>
                <w:rFonts w:ascii="Arial" w:hAnsi="Arial"/>
                <w:color w:val="444444"/>
                <w:sz w:val="19"/>
              </w:rPr>
              <w:t>巴西</w:t>
            </w:r>
          </w:p>
        </w:tc>
        <w:tc>
          <w:tcPr>
            <w:tcW w:type="dxa" w:w="1247"/>
            <w:vAlign w:val="center"/>
          </w:tcPr>
          <w:p>
            <w:r>
              <w:rPr>
                <w:rFonts w:ascii="Arial" w:hAnsi="Arial"/>
                <w:color w:val="444444"/>
                <w:sz w:val="19"/>
              </w:rPr>
              <w:t>69</w:t>
            </w:r>
          </w:p>
        </w:tc>
        <w:tc>
          <w:tcPr>
            <w:tcW w:type="dxa" w:w="1417"/>
            <w:vAlign w:val="center"/>
          </w:tcPr>
          <w:p>
            <w:r>
              <w:rPr>
                <w:rFonts w:ascii="Arial" w:hAnsi="Arial"/>
                <w:color w:val="444444"/>
                <w:sz w:val="19"/>
              </w:rPr>
              <w:t>38（中）</w:t>
            </w:r>
          </w:p>
        </w:tc>
        <w:tc>
          <w:tcPr>
            <w:tcW w:type="dxa" w:w="1417"/>
            <w:vAlign w:val="center"/>
          </w:tcPr>
          <w:p>
            <w:r>
              <w:rPr>
                <w:rFonts w:ascii="Arial" w:hAnsi="Arial"/>
                <w:color w:val="444444"/>
                <w:sz w:val="19"/>
              </w:rPr>
              <w:t>76（高）</w:t>
            </w:r>
          </w:p>
        </w:tc>
        <w:tc>
          <w:tcPr>
            <w:tcW w:type="dxa" w:w="1417"/>
            <w:vAlign w:val="center"/>
          </w:tcPr>
          <w:p>
            <w:r>
              <w:rPr>
                <w:rFonts w:ascii="Arial" w:hAnsi="Arial"/>
                <w:color w:val="444444"/>
                <w:sz w:val="19"/>
              </w:rPr>
              <w:t>基本适用</w:t>
            </w:r>
          </w:p>
        </w:tc>
        <w:tc>
          <w:tcPr>
            <w:tcW w:type="dxa" w:w="2324"/>
            <w:vAlign w:val="center"/>
          </w:tcPr>
          <w:p>
            <w:r>
              <w:rPr>
                <w:rFonts w:ascii="Arial" w:hAnsi="Arial"/>
                <w:color w:val="444444"/>
                <w:sz w:val="19"/>
              </w:rPr>
              <w:t>巴西特有人格因子(jeitinho)未被覆盖</w:t>
            </w:r>
          </w:p>
        </w:tc>
      </w:tr>
    </w:tbl>
    <w:p>
      <w:pPr>
        <w:spacing w:after="0" w:before="0"/>
      </w:pPr>
    </w:p>
    <w:p>
      <w:pPr>
        <w:pStyle w:val="Heading2"/>
        <w:jc w:val="left"/>
      </w:pPr>
      <w:r>
        <w:rPr>
          <w:rFonts w:ascii="Arial" w:hAnsi="Arial"/>
          <w:color w:val="2E75B6"/>
          <w:sz w:val="26"/>
        </w:rPr>
        <w:t>2.2 具体偏差识别与应对方案</w:t>
      </w:r>
    </w:p>
    <w:p>
      <w:pPr>
        <w:spacing w:after="80"/>
      </w:pPr>
      <w:r>
        <w:rPr>
          <w:rFonts w:ascii="Arial" w:hAnsi="Arial"/>
          <w:b/>
          <w:color w:val="444444"/>
          <w:sz w:val="21"/>
        </w:rPr>
        <w:t>【问题一】开放性（Openness）量表题目文化不适配</w:t>
      </w:r>
    </w:p>
    <w:p>
      <w:pPr>
        <w:pStyle w:val="ListBullet"/>
        <w:spacing w:after="60"/>
        <w:ind w:left="454"/>
      </w:pPr>
      <w:r>
        <w:rPr>
          <w:rFonts w:ascii="Arial" w:hAnsi="Arial"/>
          <w:color w:val="444444"/>
          <w:sz w:val="21"/>
        </w:rPr>
        <w:t>典型问题题目：“对艺术、音乐或文学着迷” —— 在南亚/东南亚低社会经济地位群中缺乏文化相关性。</w:t>
      </w:r>
    </w:p>
    <w:p>
      <w:pPr>
        <w:pStyle w:val="ListBullet"/>
        <w:spacing w:after="60"/>
        <w:ind w:left="454"/>
      </w:pPr>
      <w:r>
        <w:rPr>
          <w:rFonts w:ascii="Arial" w:hAnsi="Arial"/>
          <w:color w:val="444444"/>
          <w:sz w:val="21"/>
        </w:rPr>
        <w:t>56国研究数据：南亚/东南亚样本中，开放性量表的因子一致性系数（Congruence Coefficient）多项低于 0.90 阈値，部分题目低至 0.19。</w:t>
      </w:r>
    </w:p>
    <w:p>
      <w:pPr>
        <w:pStyle w:val="ListBullet"/>
        <w:spacing w:after="60"/>
        <w:ind w:left="454"/>
      </w:pPr>
      <w:r>
        <w:rPr>
          <w:rFonts w:ascii="Arial" w:hAnsi="Arial"/>
          <w:b/>
          <w:color w:val="444444"/>
          <w:sz w:val="21"/>
        </w:rPr>
        <w:t>→ 解决方案：</w:t>
      </w:r>
      <w:r>
        <w:rPr>
          <w:rFonts w:ascii="Arial" w:hAnsi="Arial"/>
          <w:color w:val="444444"/>
          <w:sz w:val="21"/>
        </w:rPr>
        <w:t>将开放性题目替换为本地化表达，例如将“对艺术”替换为“对新技术/新事物”，更贴近新兴市场青年语境。</w:t>
      </w:r>
    </w:p>
    <w:p>
      <w:pPr>
        <w:spacing w:after="0" w:before="0"/>
      </w:pPr>
    </w:p>
    <w:p>
      <w:pPr>
        <w:spacing w:after="80"/>
      </w:pPr>
      <w:r>
        <w:rPr>
          <w:rFonts w:ascii="Arial" w:hAnsi="Arial"/>
          <w:b/>
          <w:color w:val="444444"/>
          <w:sz w:val="21"/>
        </w:rPr>
        <w:t>【问题二】集体主义文化中的社会期待偏差（Socially Desirable Responding）</w:t>
      </w:r>
    </w:p>
    <w:p>
      <w:pPr>
        <w:pStyle w:val="ListBullet"/>
        <w:spacing w:after="60"/>
        <w:ind w:left="454"/>
      </w:pPr>
      <w:r>
        <w:rPr>
          <w:rFonts w:ascii="Arial" w:hAnsi="Arial"/>
          <w:color w:val="444444"/>
          <w:sz w:val="21"/>
        </w:rPr>
        <w:t>在印尼、菲律宾等高集体主义国家，受试者倒向于给出“和谐”而非真实的自我描述。</w:t>
      </w:r>
    </w:p>
    <w:p>
      <w:pPr>
        <w:pStyle w:val="ListBullet"/>
        <w:spacing w:after="60"/>
        <w:ind w:left="454"/>
      </w:pPr>
      <w:r>
        <w:rPr>
          <w:rFonts w:ascii="Arial" w:hAnsi="Arial"/>
          <w:color w:val="444444"/>
          <w:sz w:val="21"/>
        </w:rPr>
        <w:t>宜人性（Agreeableness）量表在东南亚样本中信度系数（α）降至 0.60 以下，显著低于西方样本。</w:t>
      </w:r>
    </w:p>
    <w:p>
      <w:pPr>
        <w:pStyle w:val="ListBullet"/>
        <w:spacing w:after="60"/>
        <w:ind w:left="454"/>
      </w:pPr>
      <w:r>
        <w:rPr>
          <w:rFonts w:ascii="Arial" w:hAnsi="Arial"/>
          <w:b/>
          <w:color w:val="444444"/>
          <w:sz w:val="21"/>
        </w:rPr>
        <w:t>→ 解决方案：</w:t>
      </w:r>
      <w:r>
        <w:rPr>
          <w:rFonts w:ascii="Arial" w:hAnsi="Arial"/>
          <w:color w:val="444444"/>
          <w:sz w:val="21"/>
        </w:rPr>
        <w:t>AI个性化导入语 + 强调答案无对错 + 匿名保证 + 情境化题目设计。</w:t>
      </w:r>
    </w:p>
    <w:p>
      <w:pPr>
        <w:spacing w:after="0" w:before="0"/>
      </w:pPr>
    </w:p>
    <w:p>
      <w:pPr>
        <w:spacing w:after="80"/>
      </w:pPr>
      <w:r>
        <w:rPr>
          <w:rFonts w:ascii="Arial" w:hAnsi="Arial"/>
          <w:b/>
          <w:color w:val="444444"/>
          <w:sz w:val="21"/>
        </w:rPr>
        <w:t>【问题三】本土人格维度缺口</w:t>
      </w:r>
    </w:p>
    <w:p>
      <w:pPr>
        <w:pStyle w:val="ListBullet"/>
        <w:spacing w:after="60"/>
        <w:ind w:left="454"/>
      </w:pPr>
      <w:r>
        <w:rPr>
          <w:rFonts w:ascii="Arial" w:hAnsi="Arial"/>
          <w:color w:val="444444"/>
          <w:sz w:val="21"/>
        </w:rPr>
        <w:t>菲律宾：Pagkamadaldal（社交好奇心）、Pagkamapagsapalaran（风险接受度）等本土维度未被大五覆盖。</w:t>
      </w:r>
    </w:p>
    <w:p>
      <w:pPr>
        <w:pStyle w:val="ListBullet"/>
        <w:spacing w:after="60"/>
        <w:ind w:left="454"/>
      </w:pPr>
      <w:r>
        <w:rPr>
          <w:rFonts w:ascii="Arial" w:hAnsi="Arial"/>
          <w:color w:val="444444"/>
          <w:sz w:val="21"/>
        </w:rPr>
        <w:t>巴西：Jeitinho Brasileiro（创造性解决问题/灵活性）是公认的第六维度，大五无法捕捉。</w:t>
      </w:r>
    </w:p>
    <w:p>
      <w:pPr>
        <w:pStyle w:val="ListBullet"/>
        <w:spacing w:after="60"/>
        <w:ind w:left="454"/>
      </w:pPr>
      <w:r>
        <w:rPr>
          <w:rFonts w:ascii="Arial" w:hAnsi="Arial"/>
          <w:b/>
          <w:color w:val="444444"/>
          <w:sz w:val="21"/>
        </w:rPr>
        <w:t>→ 解决方案：</w:t>
      </w:r>
      <w:r>
        <w:rPr>
          <w:rFonts w:ascii="Arial" w:hAnsi="Arial"/>
          <w:color w:val="444444"/>
          <w:sz w:val="21"/>
        </w:rPr>
        <w:t>在报告层添加1-2道本土化补充题，并在AI报告中独立呈现“本地文化情境分析”模块。</w:t>
      </w:r>
    </w:p>
    <w:p>
      <w:pPr>
        <w:spacing w:after="0" w:before="0"/>
      </w:pPr>
    </w:p>
    <w:p>
      <w:pPr>
        <w:pStyle w:val="Heading2"/>
        <w:jc w:val="left"/>
      </w:pPr>
      <w:r>
        <w:rPr>
          <w:rFonts w:ascii="Arial" w:hAnsi="Arial"/>
          <w:color w:val="2E75B6"/>
          <w:sz w:val="26"/>
        </w:rPr>
        <w:t>2.3 各市场适配工作量评估</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361"/>
            <w:vAlign w:val="center"/>
            <w:shd w:val="clear" w:color="auto" w:fill="2E75B6"/>
          </w:tcPr>
          <w:p>
            <w:pPr>
              <w:jc w:val="center"/>
            </w:pPr>
            <w:r>
              <w:rPr>
                <w:rFonts w:ascii="Arial" w:hAnsi="Arial"/>
                <w:b/>
                <w:color w:val="FFFFFF"/>
                <w:sz w:val="19"/>
              </w:rPr>
              <w:t>市场</w:t>
            </w:r>
          </w:p>
        </w:tc>
        <w:tc>
          <w:tcPr>
            <w:tcW w:type="dxa" w:w="1587"/>
            <w:vAlign w:val="center"/>
            <w:shd w:val="clear" w:color="auto" w:fill="2E75B6"/>
          </w:tcPr>
          <w:p>
            <w:pPr>
              <w:jc w:val="center"/>
            </w:pPr>
            <w:r>
              <w:rPr>
                <w:rFonts w:ascii="Arial" w:hAnsi="Arial"/>
                <w:b/>
                <w:color w:val="FFFFFF"/>
                <w:sz w:val="19"/>
              </w:rPr>
              <w:t>适配优先级</w:t>
            </w:r>
          </w:p>
        </w:tc>
        <w:tc>
          <w:tcPr>
            <w:tcW w:type="dxa" w:w="4082"/>
            <w:vAlign w:val="center"/>
            <w:shd w:val="clear" w:color="auto" w:fill="2E75B6"/>
          </w:tcPr>
          <w:p>
            <w:pPr>
              <w:jc w:val="center"/>
            </w:pPr>
            <w:r>
              <w:rPr>
                <w:rFonts w:ascii="Arial" w:hAnsi="Arial"/>
                <w:b/>
                <w:color w:val="FFFFFF"/>
                <w:sz w:val="19"/>
              </w:rPr>
              <w:t>核心改造内容</w:t>
            </w:r>
          </w:p>
        </w:tc>
        <w:tc>
          <w:tcPr>
            <w:tcW w:type="dxa" w:w="1587"/>
            <w:vAlign w:val="center"/>
            <w:shd w:val="clear" w:color="auto" w:fill="2E75B6"/>
          </w:tcPr>
          <w:p>
            <w:pPr>
              <w:jc w:val="center"/>
            </w:pPr>
            <w:r>
              <w:rPr>
                <w:rFonts w:ascii="Arial" w:hAnsi="Arial"/>
                <w:b/>
                <w:color w:val="FFFFFF"/>
                <w:sz w:val="19"/>
              </w:rPr>
              <w:t>预估工作量</w:t>
            </w:r>
          </w:p>
        </w:tc>
      </w:tr>
      <w:tr>
        <w:tc>
          <w:tcPr>
            <w:tcW w:type="dxa" w:w="1361"/>
            <w:vAlign w:val="center"/>
          </w:tcPr>
          <w:p>
            <w:r>
              <w:rPr>
                <w:rFonts w:ascii="Arial" w:hAnsi="Arial"/>
                <w:color w:val="444444"/>
                <w:sz w:val="19"/>
              </w:rPr>
              <w:t>新加坡</w:t>
            </w:r>
          </w:p>
        </w:tc>
        <w:tc>
          <w:tcPr>
            <w:tcW w:type="dxa" w:w="1587"/>
            <w:vAlign w:val="center"/>
          </w:tcPr>
          <w:p>
            <w:r>
              <w:rPr>
                <w:rFonts w:ascii="Arial" w:hAnsi="Arial"/>
                <w:color w:val="444444"/>
                <w:sz w:val="19"/>
              </w:rPr>
              <w:t>低（直接可用）</w:t>
            </w:r>
          </w:p>
        </w:tc>
        <w:tc>
          <w:tcPr>
            <w:tcW w:type="dxa" w:w="4082"/>
            <w:vAlign w:val="center"/>
          </w:tcPr>
          <w:p>
            <w:r>
              <w:rPr>
                <w:rFonts w:ascii="Arial" w:hAnsi="Arial"/>
                <w:color w:val="444444"/>
                <w:sz w:val="19"/>
              </w:rPr>
              <w:t>英语题目本地化表达微调</w:t>
            </w:r>
          </w:p>
        </w:tc>
        <w:tc>
          <w:tcPr>
            <w:tcW w:type="dxa" w:w="1587"/>
            <w:vAlign w:val="center"/>
          </w:tcPr>
          <w:p>
            <w:r>
              <w:rPr>
                <w:rFonts w:ascii="Arial" w:hAnsi="Arial"/>
                <w:color w:val="444444"/>
                <w:sz w:val="19"/>
              </w:rPr>
              <w:t>1周</w:t>
            </w:r>
          </w:p>
        </w:tc>
      </w:tr>
      <w:tr>
        <w:tc>
          <w:tcPr>
            <w:tcW w:type="dxa" w:w="1361"/>
            <w:vAlign w:val="center"/>
          </w:tcPr>
          <w:p>
            <w:r>
              <w:rPr>
                <w:rFonts w:ascii="Arial" w:hAnsi="Arial"/>
                <w:color w:val="444444"/>
                <w:sz w:val="19"/>
              </w:rPr>
              <w:t>印度</w:t>
            </w:r>
          </w:p>
        </w:tc>
        <w:tc>
          <w:tcPr>
            <w:tcW w:type="dxa" w:w="1587"/>
            <w:vAlign w:val="center"/>
          </w:tcPr>
          <w:p>
            <w:r>
              <w:rPr>
                <w:rFonts w:ascii="Arial" w:hAnsi="Arial"/>
                <w:color w:val="444444"/>
                <w:sz w:val="19"/>
              </w:rPr>
              <w:t>中</w:t>
            </w:r>
          </w:p>
        </w:tc>
        <w:tc>
          <w:tcPr>
            <w:tcW w:type="dxa" w:w="4082"/>
            <w:vAlign w:val="center"/>
          </w:tcPr>
          <w:p>
            <w:r>
              <w:rPr>
                <w:rFonts w:ascii="Arial" w:hAnsi="Arial"/>
                <w:color w:val="444444"/>
                <w:sz w:val="19"/>
              </w:rPr>
              <w:t>开放性量表题目替换 + 印地语翻译</w:t>
            </w:r>
          </w:p>
        </w:tc>
        <w:tc>
          <w:tcPr>
            <w:tcW w:type="dxa" w:w="1587"/>
            <w:vAlign w:val="center"/>
          </w:tcPr>
          <w:p>
            <w:r>
              <w:rPr>
                <w:rFonts w:ascii="Arial" w:hAnsi="Arial"/>
                <w:color w:val="444444"/>
                <w:sz w:val="19"/>
              </w:rPr>
              <w:t>2-3周</w:t>
            </w:r>
          </w:p>
        </w:tc>
      </w:tr>
      <w:tr>
        <w:tc>
          <w:tcPr>
            <w:tcW w:type="dxa" w:w="1361"/>
            <w:vAlign w:val="center"/>
          </w:tcPr>
          <w:p>
            <w:r>
              <w:rPr>
                <w:rFonts w:ascii="Arial" w:hAnsi="Arial"/>
                <w:color w:val="444444"/>
                <w:sz w:val="19"/>
              </w:rPr>
              <w:t>巴西</w:t>
            </w:r>
          </w:p>
        </w:tc>
        <w:tc>
          <w:tcPr>
            <w:tcW w:type="dxa" w:w="1587"/>
            <w:vAlign w:val="center"/>
          </w:tcPr>
          <w:p>
            <w:r>
              <w:rPr>
                <w:rFonts w:ascii="Arial" w:hAnsi="Arial"/>
                <w:color w:val="444444"/>
                <w:sz w:val="19"/>
              </w:rPr>
              <w:t>中</w:t>
            </w:r>
          </w:p>
        </w:tc>
        <w:tc>
          <w:tcPr>
            <w:tcW w:type="dxa" w:w="4082"/>
            <w:vAlign w:val="center"/>
          </w:tcPr>
          <w:p>
            <w:r>
              <w:rPr>
                <w:rFonts w:ascii="Arial" w:hAnsi="Arial"/>
                <w:color w:val="444444"/>
                <w:sz w:val="19"/>
              </w:rPr>
              <w:t>葡萄牙语翻译 + Jeitinho补充模块</w:t>
            </w:r>
          </w:p>
        </w:tc>
        <w:tc>
          <w:tcPr>
            <w:tcW w:type="dxa" w:w="1587"/>
            <w:vAlign w:val="center"/>
          </w:tcPr>
          <w:p>
            <w:r>
              <w:rPr>
                <w:rFonts w:ascii="Arial" w:hAnsi="Arial"/>
                <w:color w:val="444444"/>
                <w:sz w:val="19"/>
              </w:rPr>
              <w:t>2-3周</w:t>
            </w:r>
          </w:p>
        </w:tc>
      </w:tr>
      <w:tr>
        <w:tc>
          <w:tcPr>
            <w:tcW w:type="dxa" w:w="1361"/>
            <w:vAlign w:val="center"/>
          </w:tcPr>
          <w:p>
            <w:r>
              <w:rPr>
                <w:rFonts w:ascii="Arial" w:hAnsi="Arial"/>
                <w:color w:val="444444"/>
                <w:sz w:val="19"/>
              </w:rPr>
              <w:t>马来西亚</w:t>
            </w:r>
          </w:p>
        </w:tc>
        <w:tc>
          <w:tcPr>
            <w:tcW w:type="dxa" w:w="1587"/>
            <w:vAlign w:val="center"/>
          </w:tcPr>
          <w:p>
            <w:r>
              <w:rPr>
                <w:rFonts w:ascii="Arial" w:hAnsi="Arial"/>
                <w:color w:val="444444"/>
                <w:sz w:val="19"/>
              </w:rPr>
              <w:t>中</w:t>
            </w:r>
          </w:p>
        </w:tc>
        <w:tc>
          <w:tcPr>
            <w:tcW w:type="dxa" w:w="4082"/>
            <w:vAlign w:val="center"/>
          </w:tcPr>
          <w:p>
            <w:r>
              <w:rPr>
                <w:rFonts w:ascii="Arial" w:hAnsi="Arial"/>
                <w:color w:val="444444"/>
                <w:sz w:val="19"/>
              </w:rPr>
              <w:t>英/马来/中文三语版本</w:t>
            </w:r>
          </w:p>
        </w:tc>
        <w:tc>
          <w:tcPr>
            <w:tcW w:type="dxa" w:w="1587"/>
            <w:vAlign w:val="center"/>
          </w:tcPr>
          <w:p>
            <w:r>
              <w:rPr>
                <w:rFonts w:ascii="Arial" w:hAnsi="Arial"/>
                <w:color w:val="444444"/>
                <w:sz w:val="19"/>
              </w:rPr>
              <w:t>3-4周</w:t>
            </w:r>
          </w:p>
        </w:tc>
      </w:tr>
      <w:tr>
        <w:tc>
          <w:tcPr>
            <w:tcW w:type="dxa" w:w="1361"/>
            <w:vAlign w:val="center"/>
          </w:tcPr>
          <w:p>
            <w:r>
              <w:rPr>
                <w:rFonts w:ascii="Arial" w:hAnsi="Arial"/>
                <w:color w:val="444444"/>
                <w:sz w:val="19"/>
              </w:rPr>
              <w:t>菲律宾</w:t>
            </w:r>
          </w:p>
        </w:tc>
        <w:tc>
          <w:tcPr>
            <w:tcW w:type="dxa" w:w="1587"/>
            <w:vAlign w:val="center"/>
          </w:tcPr>
          <w:p>
            <w:r>
              <w:rPr>
                <w:rFonts w:ascii="Arial" w:hAnsi="Arial"/>
                <w:color w:val="444444"/>
                <w:sz w:val="19"/>
              </w:rPr>
              <w:t>高</w:t>
            </w:r>
          </w:p>
        </w:tc>
        <w:tc>
          <w:tcPr>
            <w:tcW w:type="dxa" w:w="4082"/>
            <w:vAlign w:val="center"/>
          </w:tcPr>
          <w:p>
            <w:r>
              <w:rPr>
                <w:rFonts w:ascii="Arial" w:hAnsi="Arial"/>
                <w:color w:val="444444"/>
                <w:sz w:val="19"/>
              </w:rPr>
              <w:t>本土维度补充 + 他加禄语翻译</w:t>
            </w:r>
          </w:p>
        </w:tc>
        <w:tc>
          <w:tcPr>
            <w:tcW w:type="dxa" w:w="1587"/>
            <w:vAlign w:val="center"/>
          </w:tcPr>
          <w:p>
            <w:r>
              <w:rPr>
                <w:rFonts w:ascii="Arial" w:hAnsi="Arial"/>
                <w:color w:val="444444"/>
                <w:sz w:val="19"/>
              </w:rPr>
              <w:t>3-4周</w:t>
            </w:r>
          </w:p>
        </w:tc>
      </w:tr>
      <w:tr>
        <w:tc>
          <w:tcPr>
            <w:tcW w:type="dxa" w:w="1361"/>
            <w:vAlign w:val="center"/>
          </w:tcPr>
          <w:p>
            <w:r>
              <w:rPr>
                <w:rFonts w:ascii="Arial" w:hAnsi="Arial"/>
                <w:color w:val="444444"/>
                <w:sz w:val="19"/>
              </w:rPr>
              <w:t>印尼</w:t>
            </w:r>
          </w:p>
        </w:tc>
        <w:tc>
          <w:tcPr>
            <w:tcW w:type="dxa" w:w="1587"/>
            <w:vAlign w:val="center"/>
          </w:tcPr>
          <w:p>
            <w:r>
              <w:rPr>
                <w:rFonts w:ascii="Arial" w:hAnsi="Arial"/>
                <w:color w:val="444444"/>
                <w:sz w:val="19"/>
              </w:rPr>
              <w:t>高</w:t>
            </w:r>
          </w:p>
        </w:tc>
        <w:tc>
          <w:tcPr>
            <w:tcW w:type="dxa" w:w="4082"/>
            <w:vAlign w:val="center"/>
          </w:tcPr>
          <w:p>
            <w:r>
              <w:rPr>
                <w:rFonts w:ascii="Arial" w:hAnsi="Arial"/>
                <w:color w:val="444444"/>
                <w:sz w:val="19"/>
              </w:rPr>
              <w:t>全量表印尼语重校 + 宜人性替换题</w:t>
            </w:r>
          </w:p>
        </w:tc>
        <w:tc>
          <w:tcPr>
            <w:tcW w:type="dxa" w:w="1587"/>
            <w:vAlign w:val="center"/>
          </w:tcPr>
          <w:p>
            <w:r>
              <w:rPr>
                <w:rFonts w:ascii="Arial" w:hAnsi="Arial"/>
                <w:color w:val="444444"/>
                <w:sz w:val="19"/>
              </w:rPr>
              <w:t>4-5周</w:t>
            </w:r>
          </w:p>
        </w:tc>
      </w:tr>
      <w:tr>
        <w:tc>
          <w:tcPr>
            <w:tcW w:type="dxa" w:w="1361"/>
            <w:vAlign w:val="center"/>
          </w:tcPr>
          <w:p>
            <w:r>
              <w:rPr>
                <w:rFonts w:ascii="Arial" w:hAnsi="Arial"/>
                <w:color w:val="444444"/>
                <w:sz w:val="19"/>
              </w:rPr>
              <w:t>越南</w:t>
            </w:r>
          </w:p>
        </w:tc>
        <w:tc>
          <w:tcPr>
            <w:tcW w:type="dxa" w:w="1587"/>
            <w:vAlign w:val="center"/>
          </w:tcPr>
          <w:p>
            <w:r>
              <w:rPr>
                <w:rFonts w:ascii="Arial" w:hAnsi="Arial"/>
                <w:color w:val="444444"/>
                <w:sz w:val="19"/>
              </w:rPr>
              <w:t>高</w:t>
            </w:r>
          </w:p>
        </w:tc>
        <w:tc>
          <w:tcPr>
            <w:tcW w:type="dxa" w:w="4082"/>
            <w:vAlign w:val="center"/>
          </w:tcPr>
          <w:p>
            <w:r>
              <w:rPr>
                <w:rFonts w:ascii="Arial" w:hAnsi="Arial"/>
                <w:color w:val="444444"/>
                <w:sz w:val="19"/>
              </w:rPr>
              <w:t>越语翻译 + 语义等价性检验</w:t>
            </w:r>
          </w:p>
        </w:tc>
        <w:tc>
          <w:tcPr>
            <w:tcW w:type="dxa" w:w="1587"/>
            <w:vAlign w:val="center"/>
          </w:tcPr>
          <w:p>
            <w:r>
              <w:rPr>
                <w:rFonts w:ascii="Arial" w:hAnsi="Arial"/>
                <w:color w:val="444444"/>
                <w:sz w:val="19"/>
              </w:rPr>
              <w:t>4-5周</w:t>
            </w:r>
          </w:p>
        </w:tc>
      </w:tr>
    </w:tbl>
    <w:p>
      <w:pPr>
        <w:spacing w:after="0" w:before="0"/>
      </w:pPr>
    </w:p>
    <w:p>
      <w:pPr>
        <w:spacing w:before="120" w:after="120"/>
        <w:ind w:left="170" w:right="170"/>
        <w:shd w:val="clear" w:color="auto" w:fill="D6E4F0"/>
      </w:pPr>
      <w:r>
        <w:rPr>
          <w:rFonts w:ascii="Arial" w:hAnsi="Arial"/>
          <w:b/>
          <w:color w:val="1F497D"/>
          <w:sz w:val="21"/>
        </w:rPr>
        <w:t xml:space="preserve">✅ 第二部分结论  </w:t>
      </w:r>
      <w:r>
        <w:rPr>
          <w:rFonts w:ascii="Arial" w:hAnsi="Arial"/>
          <w:color w:val="444444"/>
          <w:sz w:val="21"/>
        </w:rPr>
        <w:t>大五框架在目标市场中具备可行性，但并非开笱即用。建议第一阶段优先上线新加坡（适配成本最低）和巴西（相对适配），同步启动印度和菲律宾的本地化改造工程。总改造成本可控，不影响产品核心框架选型决策。</w:t>
      </w:r>
    </w:p>
    <w:p>
      <w:r>
        <w:br w:type="page"/>
      </w:r>
    </w:p>
    <w:p>
      <w:pPr>
        <w:pStyle w:val="Heading1"/>
        <w:jc w:val="left"/>
      </w:pPr>
      <w:r>
        <w:rPr>
          <w:rFonts w:ascii="Arial" w:hAnsi="Arial"/>
          <w:color w:val="1F497D"/>
          <w:sz w:val="32"/>
        </w:rPr>
        <w:t>三、IPIP-NEO 的 AI 化改造空间评估</w:t>
      </w:r>
    </w:p>
    <w:p>
      <w:pPr>
        <w:spacing w:after="80"/>
      </w:pPr>
      <w:r>
        <w:rPr>
          <w:rFonts w:ascii="Arial" w:hAnsi="Arial"/>
          <w:b w:val="0"/>
          <w:color w:val="444444"/>
          <w:sz w:val="21"/>
        </w:rPr>
        <w:t>这是本报告最核心的战略判断维度。我们系统梁理了学术界和产业界在AI化人格测评领域的最新进展，评估 IPIP-NEO 的AI化改造潜力及落地路径。</w:t>
      </w:r>
    </w:p>
    <w:p>
      <w:pPr>
        <w:spacing w:after="0" w:before="0"/>
      </w:pPr>
    </w:p>
    <w:p>
      <w:pPr>
        <w:pStyle w:val="Heading2"/>
        <w:jc w:val="left"/>
      </w:pPr>
      <w:r>
        <w:rPr>
          <w:rFonts w:ascii="Arial" w:hAnsi="Arial"/>
          <w:color w:val="2E75B6"/>
          <w:sz w:val="26"/>
        </w:rPr>
        <w:t>3.1 AI化改造全景图</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247"/>
            <w:vAlign w:val="center"/>
            <w:shd w:val="clear" w:color="auto" w:fill="2E75B6"/>
          </w:tcPr>
          <w:p>
            <w:pPr>
              <w:jc w:val="center"/>
            </w:pPr>
            <w:r>
              <w:rPr>
                <w:rFonts w:ascii="Arial" w:hAnsi="Arial"/>
                <w:b/>
                <w:color w:val="FFFFFF"/>
                <w:sz w:val="19"/>
              </w:rPr>
              <w:t>改造层次</w:t>
            </w:r>
          </w:p>
        </w:tc>
        <w:tc>
          <w:tcPr>
            <w:tcW w:type="dxa" w:w="2721"/>
            <w:vAlign w:val="center"/>
            <w:shd w:val="clear" w:color="auto" w:fill="2E75B6"/>
          </w:tcPr>
          <w:p>
            <w:pPr>
              <w:jc w:val="center"/>
            </w:pPr>
            <w:r>
              <w:rPr>
                <w:rFonts w:ascii="Arial" w:hAnsi="Arial"/>
                <w:b/>
                <w:color w:val="FFFFFF"/>
                <w:sz w:val="19"/>
              </w:rPr>
              <w:t>技术方向</w:t>
            </w:r>
          </w:p>
        </w:tc>
        <w:tc>
          <w:tcPr>
            <w:tcW w:type="dxa" w:w="1587"/>
            <w:vAlign w:val="center"/>
            <w:shd w:val="clear" w:color="auto" w:fill="2E75B6"/>
          </w:tcPr>
          <w:p>
            <w:pPr>
              <w:jc w:val="center"/>
            </w:pPr>
            <w:r>
              <w:rPr>
                <w:rFonts w:ascii="Arial" w:hAnsi="Arial"/>
                <w:b/>
                <w:color w:val="FFFFFF"/>
                <w:sz w:val="19"/>
              </w:rPr>
              <w:t>成熟度</w:t>
            </w:r>
          </w:p>
        </w:tc>
        <w:tc>
          <w:tcPr>
            <w:tcW w:type="dxa" w:w="1814"/>
            <w:vAlign w:val="center"/>
            <w:shd w:val="clear" w:color="auto" w:fill="2E75B6"/>
          </w:tcPr>
          <w:p>
            <w:pPr>
              <w:jc w:val="center"/>
            </w:pPr>
            <w:r>
              <w:rPr>
                <w:rFonts w:ascii="Arial" w:hAnsi="Arial"/>
                <w:b/>
                <w:color w:val="FFFFFF"/>
                <w:sz w:val="19"/>
              </w:rPr>
              <w:t>效果提升</w:t>
            </w:r>
          </w:p>
        </w:tc>
        <w:tc>
          <w:tcPr>
            <w:tcW w:type="dxa" w:w="1247"/>
            <w:vAlign w:val="center"/>
            <w:shd w:val="clear" w:color="auto" w:fill="2E75B6"/>
          </w:tcPr>
          <w:p>
            <w:pPr>
              <w:jc w:val="center"/>
            </w:pPr>
            <w:r>
              <w:rPr>
                <w:rFonts w:ascii="Arial" w:hAnsi="Arial"/>
                <w:b/>
                <w:color w:val="FFFFFF"/>
                <w:sz w:val="19"/>
              </w:rPr>
              <w:t>优先级</w:t>
            </w:r>
          </w:p>
        </w:tc>
      </w:tr>
      <w:tr>
        <w:tc>
          <w:tcPr>
            <w:tcW w:type="dxa" w:w="1247"/>
            <w:vAlign w:val="center"/>
          </w:tcPr>
          <w:p>
            <w:r>
              <w:rPr>
                <w:rFonts w:ascii="Arial" w:hAnsi="Arial"/>
                <w:color w:val="444444"/>
                <w:sz w:val="19"/>
              </w:rPr>
              <w:t>题目层</w:t>
            </w:r>
          </w:p>
        </w:tc>
        <w:tc>
          <w:tcPr>
            <w:tcW w:type="dxa" w:w="2721"/>
            <w:vAlign w:val="center"/>
          </w:tcPr>
          <w:p>
            <w:r>
              <w:rPr>
                <w:rFonts w:ascii="Arial" w:hAnsi="Arial"/>
                <w:color w:val="444444"/>
                <w:sz w:val="19"/>
              </w:rPr>
              <w:t>计算机自适应测试（CAT）</w:t>
              <w:br/>
              <w:t>——动态选题，减少 70% 题量</w:t>
            </w:r>
          </w:p>
        </w:tc>
        <w:tc>
          <w:tcPr>
            <w:tcW w:type="dxa" w:w="1587"/>
            <w:vAlign w:val="center"/>
          </w:tcPr>
          <w:p>
            <w:r>
              <w:rPr>
                <w:rFonts w:ascii="Arial" w:hAnsi="Arial"/>
                <w:color w:val="444444"/>
                <w:sz w:val="19"/>
              </w:rPr>
              <w:t>成熟（已有论文验证）</w:t>
            </w:r>
          </w:p>
        </w:tc>
        <w:tc>
          <w:tcPr>
            <w:tcW w:type="dxa" w:w="1814"/>
            <w:vAlign w:val="center"/>
          </w:tcPr>
          <w:p>
            <w:r>
              <w:rPr>
                <w:rFonts w:ascii="Arial" w:hAnsi="Arial"/>
                <w:color w:val="444444"/>
                <w:sz w:val="19"/>
              </w:rPr>
              <w:t>保持同等效度</w:t>
              <w:br/>
              <w:t>题量从 120 → 25-40</w:t>
            </w:r>
          </w:p>
        </w:tc>
        <w:tc>
          <w:tcPr>
            <w:tcW w:type="dxa" w:w="1247"/>
            <w:vAlign w:val="center"/>
          </w:tcPr>
          <w:p>
            <w:r>
              <w:rPr>
                <w:rFonts w:ascii="Arial" w:hAnsi="Arial"/>
                <w:color w:val="444444"/>
                <w:sz w:val="19"/>
              </w:rPr>
              <w:t>🔴 P0</w:t>
            </w:r>
          </w:p>
        </w:tc>
      </w:tr>
      <w:tr>
        <w:tc>
          <w:tcPr>
            <w:tcW w:type="dxa" w:w="1247"/>
            <w:vAlign w:val="center"/>
          </w:tcPr>
          <w:p>
            <w:r>
              <w:rPr>
                <w:rFonts w:ascii="Arial" w:hAnsi="Arial"/>
                <w:color w:val="444444"/>
                <w:sz w:val="19"/>
              </w:rPr>
              <w:t>交互层</w:t>
            </w:r>
          </w:p>
        </w:tc>
        <w:tc>
          <w:tcPr>
            <w:tcW w:type="dxa" w:w="2721"/>
            <w:vAlign w:val="center"/>
          </w:tcPr>
          <w:p>
            <w:r>
              <w:rPr>
                <w:rFonts w:ascii="Arial" w:hAnsi="Arial"/>
                <w:color w:val="444444"/>
                <w:sz w:val="19"/>
              </w:rPr>
              <w:t>对话式问卷</w:t>
              <w:br/>
              <w:t>LLM驱动自然语言导入</w:t>
            </w:r>
          </w:p>
        </w:tc>
        <w:tc>
          <w:tcPr>
            <w:tcW w:type="dxa" w:w="1587"/>
            <w:vAlign w:val="center"/>
          </w:tcPr>
          <w:p>
            <w:r>
              <w:rPr>
                <w:rFonts w:ascii="Arial" w:hAnsi="Arial"/>
                <w:color w:val="444444"/>
                <w:sz w:val="19"/>
              </w:rPr>
              <w:t>中等（产品已出现）</w:t>
            </w:r>
          </w:p>
        </w:tc>
        <w:tc>
          <w:tcPr>
            <w:tcW w:type="dxa" w:w="1814"/>
            <w:vAlign w:val="center"/>
          </w:tcPr>
          <w:p>
            <w:r>
              <w:rPr>
                <w:rFonts w:ascii="Arial" w:hAnsi="Arial"/>
                <w:color w:val="444444"/>
                <w:sz w:val="19"/>
              </w:rPr>
              <w:t>完成率提升</w:t>
              <w:br/>
              <w:t>用户体验++</w:t>
            </w:r>
          </w:p>
        </w:tc>
        <w:tc>
          <w:tcPr>
            <w:tcW w:type="dxa" w:w="1247"/>
            <w:vAlign w:val="center"/>
          </w:tcPr>
          <w:p>
            <w:r>
              <w:rPr>
                <w:rFonts w:ascii="Arial" w:hAnsi="Arial"/>
                <w:color w:val="444444"/>
                <w:sz w:val="19"/>
              </w:rPr>
              <w:t>🔴 P0</w:t>
            </w:r>
          </w:p>
        </w:tc>
      </w:tr>
      <w:tr>
        <w:tc>
          <w:tcPr>
            <w:tcW w:type="dxa" w:w="1247"/>
            <w:vAlign w:val="center"/>
          </w:tcPr>
          <w:p>
            <w:r>
              <w:rPr>
                <w:rFonts w:ascii="Arial" w:hAnsi="Arial"/>
                <w:color w:val="444444"/>
                <w:sz w:val="19"/>
              </w:rPr>
              <w:t>报告层</w:t>
            </w:r>
          </w:p>
        </w:tc>
        <w:tc>
          <w:tcPr>
            <w:tcW w:type="dxa" w:w="2721"/>
            <w:vAlign w:val="center"/>
          </w:tcPr>
          <w:p>
            <w:r>
              <w:rPr>
                <w:rFonts w:ascii="Arial" w:hAnsi="Arial"/>
                <w:color w:val="444444"/>
                <w:sz w:val="19"/>
              </w:rPr>
              <w:t>LLM个性化报告生成</w:t>
              <w:br/>
              <w:t>——千人千面叙事</w:t>
            </w:r>
          </w:p>
        </w:tc>
        <w:tc>
          <w:tcPr>
            <w:tcW w:type="dxa" w:w="1587"/>
            <w:vAlign w:val="center"/>
          </w:tcPr>
          <w:p>
            <w:r>
              <w:rPr>
                <w:rFonts w:ascii="Arial" w:hAnsi="Arial"/>
                <w:color w:val="444444"/>
                <w:sz w:val="19"/>
              </w:rPr>
              <w:t>成熟（技术已验证）</w:t>
            </w:r>
          </w:p>
        </w:tc>
        <w:tc>
          <w:tcPr>
            <w:tcW w:type="dxa" w:w="1814"/>
            <w:vAlign w:val="center"/>
          </w:tcPr>
          <w:p>
            <w:r>
              <w:rPr>
                <w:rFonts w:ascii="Arial" w:hAnsi="Arial"/>
                <w:color w:val="444444"/>
                <w:sz w:val="19"/>
              </w:rPr>
              <w:t>感知价値大幅提升</w:t>
              <w:br/>
              <w:t>付费意愿↑</w:t>
            </w:r>
          </w:p>
        </w:tc>
        <w:tc>
          <w:tcPr>
            <w:tcW w:type="dxa" w:w="1247"/>
            <w:vAlign w:val="center"/>
          </w:tcPr>
          <w:p>
            <w:r>
              <w:rPr>
                <w:rFonts w:ascii="Arial" w:hAnsi="Arial"/>
                <w:color w:val="444444"/>
                <w:sz w:val="19"/>
              </w:rPr>
              <w:t>🔴 P0</w:t>
            </w:r>
          </w:p>
        </w:tc>
      </w:tr>
      <w:tr>
        <w:tc>
          <w:tcPr>
            <w:tcW w:type="dxa" w:w="1247"/>
            <w:vAlign w:val="center"/>
          </w:tcPr>
          <w:p>
            <w:r>
              <w:rPr>
                <w:rFonts w:ascii="Arial" w:hAnsi="Arial"/>
                <w:color w:val="444444"/>
                <w:sz w:val="19"/>
              </w:rPr>
              <w:t>推荐层</w:t>
            </w:r>
          </w:p>
        </w:tc>
        <w:tc>
          <w:tcPr>
            <w:tcW w:type="dxa" w:w="2721"/>
            <w:vAlign w:val="center"/>
          </w:tcPr>
          <w:p>
            <w:r>
              <w:rPr>
                <w:rFonts w:ascii="Arial" w:hAnsi="Arial"/>
                <w:color w:val="444444"/>
                <w:sz w:val="19"/>
              </w:rPr>
              <w:t>AI职业匹配引擎</w:t>
              <w:br/>
              <w:t>人格向量×职业数据库</w:t>
            </w:r>
          </w:p>
        </w:tc>
        <w:tc>
          <w:tcPr>
            <w:tcW w:type="dxa" w:w="1587"/>
            <w:vAlign w:val="center"/>
          </w:tcPr>
          <w:p>
            <w:r>
              <w:rPr>
                <w:rFonts w:ascii="Arial" w:hAnsi="Arial"/>
                <w:color w:val="444444"/>
                <w:sz w:val="19"/>
              </w:rPr>
              <w:t>成熟（Pymetrics/HireVue在用）</w:t>
            </w:r>
          </w:p>
        </w:tc>
        <w:tc>
          <w:tcPr>
            <w:tcW w:type="dxa" w:w="1814"/>
            <w:vAlign w:val="center"/>
          </w:tcPr>
          <w:p>
            <w:r>
              <w:rPr>
                <w:rFonts w:ascii="Arial" w:hAnsi="Arial"/>
                <w:color w:val="444444"/>
                <w:sz w:val="19"/>
              </w:rPr>
              <w:t>核心差异化功能</w:t>
            </w:r>
          </w:p>
        </w:tc>
        <w:tc>
          <w:tcPr>
            <w:tcW w:type="dxa" w:w="1247"/>
            <w:vAlign w:val="center"/>
          </w:tcPr>
          <w:p>
            <w:r>
              <w:rPr>
                <w:rFonts w:ascii="Arial" w:hAnsi="Arial"/>
                <w:color w:val="444444"/>
                <w:sz w:val="19"/>
              </w:rPr>
              <w:t>🟡 P1</w:t>
            </w:r>
          </w:p>
        </w:tc>
      </w:tr>
      <w:tr>
        <w:tc>
          <w:tcPr>
            <w:tcW w:type="dxa" w:w="1247"/>
            <w:vAlign w:val="center"/>
          </w:tcPr>
          <w:p>
            <w:r>
              <w:rPr>
                <w:rFonts w:ascii="Arial" w:hAnsi="Arial"/>
                <w:color w:val="444444"/>
                <w:sz w:val="19"/>
              </w:rPr>
              <w:t>输入层</w:t>
            </w:r>
          </w:p>
        </w:tc>
        <w:tc>
          <w:tcPr>
            <w:tcW w:type="dxa" w:w="2721"/>
            <w:vAlign w:val="center"/>
          </w:tcPr>
          <w:p>
            <w:r>
              <w:rPr>
                <w:rFonts w:ascii="Arial" w:hAnsi="Arial"/>
                <w:color w:val="444444"/>
                <w:sz w:val="19"/>
              </w:rPr>
              <w:t>多模态推断</w:t>
              <w:br/>
              <w:t>语音/面部/文字推断人格</w:t>
            </w:r>
          </w:p>
        </w:tc>
        <w:tc>
          <w:tcPr>
            <w:tcW w:type="dxa" w:w="1587"/>
            <w:vAlign w:val="center"/>
          </w:tcPr>
          <w:p>
            <w:r>
              <w:rPr>
                <w:rFonts w:ascii="Arial" w:hAnsi="Arial"/>
                <w:color w:val="444444"/>
                <w:sz w:val="19"/>
              </w:rPr>
              <w:t>早期（研究阶段为主）</w:t>
            </w:r>
          </w:p>
        </w:tc>
        <w:tc>
          <w:tcPr>
            <w:tcW w:type="dxa" w:w="1814"/>
            <w:vAlign w:val="center"/>
          </w:tcPr>
          <w:p>
            <w:r>
              <w:rPr>
                <w:rFonts w:ascii="Arial" w:hAnsi="Arial"/>
                <w:color w:val="444444"/>
                <w:sz w:val="19"/>
              </w:rPr>
              <w:t>潜力大但时间长</w:t>
            </w:r>
          </w:p>
        </w:tc>
        <w:tc>
          <w:tcPr>
            <w:tcW w:type="dxa" w:w="1247"/>
            <w:vAlign w:val="center"/>
          </w:tcPr>
          <w:p>
            <w:r>
              <w:rPr>
                <w:rFonts w:ascii="Arial" w:hAnsi="Arial"/>
                <w:color w:val="444444"/>
                <w:sz w:val="19"/>
              </w:rPr>
              <w:t>🟢 P2</w:t>
            </w:r>
          </w:p>
        </w:tc>
      </w:tr>
      <w:tr>
        <w:tc>
          <w:tcPr>
            <w:tcW w:type="dxa" w:w="1247"/>
            <w:vAlign w:val="center"/>
          </w:tcPr>
          <w:p>
            <w:r>
              <w:rPr>
                <w:rFonts w:ascii="Arial" w:hAnsi="Arial"/>
                <w:color w:val="444444"/>
                <w:sz w:val="19"/>
              </w:rPr>
              <w:t>获客层</w:t>
            </w:r>
          </w:p>
        </w:tc>
        <w:tc>
          <w:tcPr>
            <w:tcW w:type="dxa" w:w="2721"/>
            <w:vAlign w:val="center"/>
          </w:tcPr>
          <w:p>
            <w:r>
              <w:rPr>
                <w:rFonts w:ascii="Arial" w:hAnsi="Arial"/>
                <w:color w:val="444444"/>
                <w:sz w:val="19"/>
              </w:rPr>
              <w:t>NLP社媒人格推断</w:t>
              <w:br/>
              <w:t>从文字推断用户特征</w:t>
            </w:r>
          </w:p>
        </w:tc>
        <w:tc>
          <w:tcPr>
            <w:tcW w:type="dxa" w:w="1587"/>
            <w:vAlign w:val="center"/>
          </w:tcPr>
          <w:p>
            <w:r>
              <w:rPr>
                <w:rFonts w:ascii="Arial" w:hAnsi="Arial"/>
                <w:color w:val="444444"/>
                <w:sz w:val="19"/>
              </w:rPr>
              <w:t>中等（GPT-4已验证）</w:t>
            </w:r>
          </w:p>
        </w:tc>
        <w:tc>
          <w:tcPr>
            <w:tcW w:type="dxa" w:w="1814"/>
            <w:vAlign w:val="center"/>
          </w:tcPr>
          <w:p>
            <w:r>
              <w:rPr>
                <w:rFonts w:ascii="Arial" w:hAnsi="Arial"/>
                <w:color w:val="444444"/>
                <w:sz w:val="19"/>
              </w:rPr>
              <w:t>精准获客工具</w:t>
            </w:r>
          </w:p>
        </w:tc>
        <w:tc>
          <w:tcPr>
            <w:tcW w:type="dxa" w:w="1247"/>
            <w:vAlign w:val="center"/>
          </w:tcPr>
          <w:p>
            <w:r>
              <w:rPr>
                <w:rFonts w:ascii="Arial" w:hAnsi="Arial"/>
                <w:color w:val="444444"/>
                <w:sz w:val="19"/>
              </w:rPr>
              <w:t>🟡 P1</w:t>
            </w:r>
          </w:p>
        </w:tc>
      </w:tr>
    </w:tbl>
    <w:p>
      <w:pPr>
        <w:spacing w:after="0" w:before="0"/>
      </w:pPr>
    </w:p>
    <w:p>
      <w:pPr>
        <w:pStyle w:val="Heading2"/>
        <w:jc w:val="left"/>
      </w:pPr>
      <w:r>
        <w:rPr>
          <w:rFonts w:ascii="Arial" w:hAnsi="Arial"/>
          <w:color w:val="2E75B6"/>
          <w:sz w:val="26"/>
        </w:rPr>
        <w:t>3.2 P0：计算机自适应测试（CAT）</w:t>
      </w:r>
    </w:p>
    <w:p>
      <w:pPr>
        <w:spacing w:after="80"/>
      </w:pPr>
      <w:r>
        <w:rPr>
          <w:rFonts w:ascii="Arial" w:hAnsi="Arial"/>
          <w:b w:val="0"/>
          <w:color w:val="444444"/>
          <w:sz w:val="21"/>
        </w:rPr>
        <w:t>投入产出比最高的AI改造方向，直接解决用户最大痛点——题量太多、完成率低。</w:t>
      </w:r>
    </w:p>
    <w:p>
      <w:pPr>
        <w:pStyle w:val="ListBullet"/>
        <w:spacing w:after="60"/>
        <w:ind w:left="454"/>
      </w:pPr>
      <w:r>
        <w:rPr>
          <w:rFonts w:ascii="Arial" w:hAnsi="Arial"/>
          <w:color w:val="444444"/>
          <w:sz w:val="21"/>
        </w:rPr>
        <w:t>研究数据：bifactor CAT模型（MCAT-B）证明，每个维度仅需 12 道题即可达到与 120 题量表等效的测量精度。</w:t>
      </w:r>
    </w:p>
    <w:p>
      <w:pPr>
        <w:pStyle w:val="ListBullet"/>
        <w:spacing w:after="60"/>
        <w:ind w:left="454"/>
      </w:pPr>
      <w:r>
        <w:rPr>
          <w:rFonts w:ascii="Arial" w:hAnsi="Arial"/>
          <w:color w:val="444444"/>
          <w:sz w:val="21"/>
        </w:rPr>
        <w:t>实际效果：从 IPIP-NEO-120 题屮减至约 25-40 题（总时长从 25 分钟缩至 5-8 分钟），完成率预估提升 40-60%。</w:t>
      </w:r>
    </w:p>
    <w:p>
      <w:pPr>
        <w:pStyle w:val="ListBullet"/>
        <w:spacing w:after="60"/>
        <w:ind w:left="454"/>
      </w:pPr>
      <w:r>
        <w:rPr>
          <w:rFonts w:ascii="Arial" w:hAnsi="Arial"/>
          <w:color w:val="444444"/>
          <w:sz w:val="21"/>
        </w:rPr>
        <w:t>技术路径：基于IRT（项目反应理论）构建题目参数库，运行时动态选题；IPIP-NEO开源题库可直接用于IRT标定。</w:t>
      </w:r>
    </w:p>
    <w:p>
      <w:pPr>
        <w:pStyle w:val="ListBullet"/>
        <w:spacing w:after="60"/>
        <w:ind w:left="454"/>
      </w:pPr>
      <w:r>
        <w:rPr>
          <w:rFonts w:ascii="Arial" w:hAnsi="Arial"/>
          <w:color w:val="444444"/>
          <w:sz w:val="21"/>
        </w:rPr>
        <w:t>竞品先例：Paradox.ai 已将大五测评压缩至 2-5 分钟，证明市场接受度极高。</w:t>
      </w:r>
    </w:p>
    <w:p>
      <w:pPr>
        <w:spacing w:after="0" w:before="0"/>
      </w:pPr>
    </w:p>
    <w:p>
      <w:pPr>
        <w:pStyle w:val="Heading2"/>
        <w:jc w:val="left"/>
      </w:pPr>
      <w:r>
        <w:rPr>
          <w:rFonts w:ascii="Arial" w:hAnsi="Arial"/>
          <w:color w:val="2E75B6"/>
          <w:sz w:val="26"/>
        </w:rPr>
        <w:t>3.3 P0：LLM个性化报告生成</w:t>
      </w:r>
    </w:p>
    <w:p>
      <w:pPr>
        <w:spacing w:after="80"/>
      </w:pPr>
      <w:r>
        <w:rPr>
          <w:rFonts w:ascii="Arial" w:hAnsi="Arial"/>
          <w:b w:val="0"/>
          <w:color w:val="444444"/>
          <w:sz w:val="21"/>
        </w:rPr>
        <w:t>将静态模板报告升级为千人千面的LLM叙事报告，是提升付费转化率的核心杠杆。</w:t>
      </w:r>
    </w:p>
    <w:p>
      <w:pPr>
        <w:pStyle w:val="ListBullet"/>
        <w:spacing w:after="60"/>
        <w:ind w:left="454"/>
      </w:pPr>
      <w:r>
        <w:rPr>
          <w:rFonts w:ascii="Arial" w:hAnsi="Arial"/>
          <w:color w:val="444444"/>
          <w:sz w:val="21"/>
        </w:rPr>
        <w:t>技术验证：Nature Machine Intelligence（2025）证明，大型指令微调模型可以可靠地根据测评分数生成符合对应人格特征的文本内容。</w:t>
      </w:r>
    </w:p>
    <w:p>
      <w:pPr>
        <w:pStyle w:val="ListBullet"/>
        <w:spacing w:after="60"/>
        <w:ind w:left="454"/>
      </w:pPr>
      <w:r>
        <w:rPr>
          <w:rFonts w:ascii="Arial" w:hAnsi="Arial"/>
          <w:color w:val="444444"/>
          <w:sz w:val="21"/>
        </w:rPr>
        <w:t>实现方式：将大五5维30面特质分数作为结构化输入，配合职业数据库和市场语境，通过Prompt Engineering生成个性化职业发展报告。</w:t>
      </w:r>
    </w:p>
    <w:p>
      <w:pPr>
        <w:pStyle w:val="ListBullet"/>
        <w:spacing w:after="60"/>
        <w:ind w:left="454"/>
      </w:pPr>
      <w:r>
        <w:rPr>
          <w:rFonts w:ascii="Arial" w:hAnsi="Arial"/>
          <w:color w:val="444444"/>
          <w:sz w:val="21"/>
        </w:rPr>
        <w:t>商业价値：相同底层数据，可生成 5 种不同侧重的报告（职业版/关系版/学习版/领导力版/心理健康版），支撑分层付费体系。</w:t>
      </w:r>
    </w:p>
    <w:p>
      <w:pPr>
        <w:spacing w:after="0" w:before="0"/>
      </w:pPr>
    </w:p>
    <w:p>
      <w:pPr>
        <w:pStyle w:val="Heading2"/>
        <w:jc w:val="left"/>
      </w:pPr>
      <w:r>
        <w:rPr>
          <w:rFonts w:ascii="Arial" w:hAnsi="Arial"/>
          <w:color w:val="2E75B6"/>
          <w:sz w:val="26"/>
        </w:rPr>
        <w:t>3.4 P1：AI职业匹配引擎</w:t>
      </w:r>
    </w:p>
    <w:p>
      <w:pPr>
        <w:pStyle w:val="ListBullet"/>
        <w:spacing w:after="60"/>
        <w:ind w:left="454"/>
      </w:pPr>
      <w:r>
        <w:rPr>
          <w:rFonts w:ascii="Arial" w:hAnsi="Arial"/>
          <w:color w:val="444444"/>
          <w:sz w:val="21"/>
        </w:rPr>
        <w:t>技术路径：IPIP-NEO 30个面特质分数 → embedding向量 → 与O*NET职业数据库（1000+职业）做余弦相似度匹配。</w:t>
      </w:r>
    </w:p>
    <w:p>
      <w:pPr>
        <w:pStyle w:val="ListBullet"/>
        <w:spacing w:after="60"/>
        <w:ind w:left="454"/>
      </w:pPr>
      <w:r>
        <w:rPr>
          <w:rFonts w:ascii="Arial" w:hAnsi="Arial"/>
          <w:color w:val="444444"/>
          <w:sz w:val="21"/>
        </w:rPr>
        <w:t>差异化：在印度/东南亚/巴西本地化职业数据（结合LinkedIn职位数据、本地薪资数据），形成西方产品无法提供的本地职业推荐。</w:t>
      </w:r>
    </w:p>
    <w:p>
      <w:pPr>
        <w:pStyle w:val="ListBullet"/>
        <w:spacing w:after="60"/>
        <w:ind w:left="454"/>
      </w:pPr>
      <w:r>
        <w:rPr>
          <w:rFonts w:ascii="Arial" w:hAnsi="Arial"/>
          <w:color w:val="444444"/>
          <w:sz w:val="21"/>
        </w:rPr>
        <w:t>先例：Pymetrics 被 Unilever 等5百强采用，证明此路径商业可行。</w:t>
      </w:r>
    </w:p>
    <w:p>
      <w:pPr>
        <w:spacing w:after="0" w:before="0"/>
      </w:pPr>
    </w:p>
    <w:p>
      <w:pPr>
        <w:pStyle w:val="Heading2"/>
        <w:jc w:val="left"/>
      </w:pPr>
      <w:r>
        <w:rPr>
          <w:rFonts w:ascii="Arial" w:hAnsi="Arial"/>
          <w:color w:val="2E75B6"/>
          <w:sz w:val="26"/>
        </w:rPr>
        <w:t>3.5 AI化改造路线图</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247"/>
            <w:vAlign w:val="center"/>
            <w:shd w:val="clear" w:color="auto" w:fill="2E75B6"/>
          </w:tcPr>
          <w:p>
            <w:pPr>
              <w:jc w:val="center"/>
            </w:pPr>
            <w:r>
              <w:rPr>
                <w:rFonts w:ascii="Arial" w:hAnsi="Arial"/>
                <w:b/>
                <w:color w:val="FFFFFF"/>
                <w:sz w:val="19"/>
              </w:rPr>
              <w:t>阶段</w:t>
            </w:r>
          </w:p>
        </w:tc>
        <w:tc>
          <w:tcPr>
            <w:tcW w:type="dxa" w:w="1587"/>
            <w:vAlign w:val="center"/>
            <w:shd w:val="clear" w:color="auto" w:fill="2E75B6"/>
          </w:tcPr>
          <w:p>
            <w:pPr>
              <w:jc w:val="center"/>
            </w:pPr>
            <w:r>
              <w:rPr>
                <w:rFonts w:ascii="Arial" w:hAnsi="Arial"/>
                <w:b/>
                <w:color w:val="FFFFFF"/>
                <w:sz w:val="19"/>
              </w:rPr>
              <w:t>时间</w:t>
            </w:r>
          </w:p>
        </w:tc>
        <w:tc>
          <w:tcPr>
            <w:tcW w:type="dxa" w:w="4422"/>
            <w:vAlign w:val="center"/>
            <w:shd w:val="clear" w:color="auto" w:fill="2E75B6"/>
          </w:tcPr>
          <w:p>
            <w:pPr>
              <w:jc w:val="center"/>
            </w:pPr>
            <w:r>
              <w:rPr>
                <w:rFonts w:ascii="Arial" w:hAnsi="Arial"/>
                <w:b/>
                <w:color w:val="FFFFFF"/>
                <w:sz w:val="19"/>
              </w:rPr>
              <w:t>核心AI功能</w:t>
            </w:r>
          </w:p>
        </w:tc>
        <w:tc>
          <w:tcPr>
            <w:tcW w:type="dxa" w:w="1928"/>
            <w:vAlign w:val="center"/>
            <w:shd w:val="clear" w:color="auto" w:fill="2E75B6"/>
          </w:tcPr>
          <w:p>
            <w:pPr>
              <w:jc w:val="center"/>
            </w:pPr>
            <w:r>
              <w:rPr>
                <w:rFonts w:ascii="Arial" w:hAnsi="Arial"/>
                <w:b/>
                <w:color w:val="FFFFFF"/>
                <w:sz w:val="19"/>
              </w:rPr>
              <w:t>预期指标提升</w:t>
            </w:r>
          </w:p>
        </w:tc>
      </w:tr>
      <w:tr>
        <w:tc>
          <w:tcPr>
            <w:tcW w:type="dxa" w:w="1247"/>
            <w:vAlign w:val="center"/>
          </w:tcPr>
          <w:p>
            <w:r>
              <w:rPr>
                <w:rFonts w:ascii="Arial" w:hAnsi="Arial"/>
                <w:color w:val="444444"/>
                <w:sz w:val="19"/>
              </w:rPr>
              <w:t>MVP阶段</w:t>
            </w:r>
          </w:p>
        </w:tc>
        <w:tc>
          <w:tcPr>
            <w:tcW w:type="dxa" w:w="1587"/>
            <w:vAlign w:val="center"/>
          </w:tcPr>
          <w:p>
            <w:r>
              <w:rPr>
                <w:rFonts w:ascii="Arial" w:hAnsi="Arial"/>
                <w:color w:val="444444"/>
                <w:sz w:val="19"/>
              </w:rPr>
              <w:t>第1-3个月</w:t>
            </w:r>
          </w:p>
        </w:tc>
        <w:tc>
          <w:tcPr>
            <w:tcW w:type="dxa" w:w="4422"/>
            <w:vAlign w:val="center"/>
          </w:tcPr>
          <w:p>
            <w:r>
              <w:rPr>
                <w:rFonts w:ascii="Arial" w:hAnsi="Arial"/>
                <w:color w:val="444444"/>
                <w:sz w:val="19"/>
              </w:rPr>
              <w:t>LLM报告生成 + 固定短版题库（40题）</w:t>
            </w:r>
          </w:p>
        </w:tc>
        <w:tc>
          <w:tcPr>
            <w:tcW w:type="dxa" w:w="1928"/>
            <w:vAlign w:val="center"/>
          </w:tcPr>
          <w:p>
            <w:r>
              <w:rPr>
                <w:rFonts w:ascii="Arial" w:hAnsi="Arial"/>
                <w:color w:val="444444"/>
                <w:sz w:val="19"/>
              </w:rPr>
              <w:t>付费转化率+30%，完成率+40%</w:t>
            </w:r>
          </w:p>
        </w:tc>
      </w:tr>
      <w:tr>
        <w:tc>
          <w:tcPr>
            <w:tcW w:type="dxa" w:w="1247"/>
            <w:vAlign w:val="center"/>
          </w:tcPr>
          <w:p>
            <w:r>
              <w:rPr>
                <w:rFonts w:ascii="Arial" w:hAnsi="Arial"/>
                <w:color w:val="444444"/>
                <w:sz w:val="19"/>
              </w:rPr>
              <w:t>成长阶段</w:t>
            </w:r>
          </w:p>
        </w:tc>
        <w:tc>
          <w:tcPr>
            <w:tcW w:type="dxa" w:w="1587"/>
            <w:vAlign w:val="center"/>
          </w:tcPr>
          <w:p>
            <w:r>
              <w:rPr>
                <w:rFonts w:ascii="Arial" w:hAnsi="Arial"/>
                <w:color w:val="444444"/>
                <w:sz w:val="19"/>
              </w:rPr>
              <w:t>第4-8个月</w:t>
            </w:r>
          </w:p>
        </w:tc>
        <w:tc>
          <w:tcPr>
            <w:tcW w:type="dxa" w:w="4422"/>
            <w:vAlign w:val="center"/>
          </w:tcPr>
          <w:p>
            <w:r>
              <w:rPr>
                <w:rFonts w:ascii="Arial" w:hAnsi="Arial"/>
                <w:color w:val="444444"/>
                <w:sz w:val="19"/>
              </w:rPr>
              <w:t>CAT动态自适应题库 + AI职业匹配v1</w:t>
            </w:r>
          </w:p>
        </w:tc>
        <w:tc>
          <w:tcPr>
            <w:tcW w:type="dxa" w:w="1928"/>
            <w:vAlign w:val="center"/>
          </w:tcPr>
          <w:p>
            <w:r>
              <w:rPr>
                <w:rFonts w:ascii="Arial" w:hAnsi="Arial"/>
                <w:color w:val="444444"/>
                <w:sz w:val="19"/>
              </w:rPr>
              <w:t>题量减至25题，用户评分+15%</w:t>
            </w:r>
          </w:p>
        </w:tc>
      </w:tr>
      <w:tr>
        <w:tc>
          <w:tcPr>
            <w:tcW w:type="dxa" w:w="1247"/>
            <w:vAlign w:val="center"/>
          </w:tcPr>
          <w:p>
            <w:r>
              <w:rPr>
                <w:rFonts w:ascii="Arial" w:hAnsi="Arial"/>
                <w:color w:val="444444"/>
                <w:sz w:val="19"/>
              </w:rPr>
              <w:t>壁垒阶段</w:t>
            </w:r>
          </w:p>
        </w:tc>
        <w:tc>
          <w:tcPr>
            <w:tcW w:type="dxa" w:w="1587"/>
            <w:vAlign w:val="center"/>
          </w:tcPr>
          <w:p>
            <w:r>
              <w:rPr>
                <w:rFonts w:ascii="Arial" w:hAnsi="Arial"/>
                <w:color w:val="444444"/>
                <w:sz w:val="19"/>
              </w:rPr>
              <w:t>第9-18个月</w:t>
            </w:r>
          </w:p>
        </w:tc>
        <w:tc>
          <w:tcPr>
            <w:tcW w:type="dxa" w:w="4422"/>
            <w:vAlign w:val="center"/>
          </w:tcPr>
          <w:p>
            <w:r>
              <w:rPr>
                <w:rFonts w:ascii="Arial" w:hAnsi="Arial"/>
                <w:color w:val="444444"/>
                <w:sz w:val="19"/>
              </w:rPr>
              <w:t>本地职业数据库 + 多报告分层 + NLP获客</w:t>
            </w:r>
          </w:p>
        </w:tc>
        <w:tc>
          <w:tcPr>
            <w:tcW w:type="dxa" w:w="1928"/>
            <w:vAlign w:val="center"/>
          </w:tcPr>
          <w:p>
            <w:r>
              <w:rPr>
                <w:rFonts w:ascii="Arial" w:hAnsi="Arial"/>
                <w:color w:val="444444"/>
                <w:sz w:val="19"/>
              </w:rPr>
              <w:t>ARPU提儇2倍，LTV显著增长</w:t>
            </w:r>
          </w:p>
        </w:tc>
      </w:tr>
      <w:tr>
        <w:tc>
          <w:tcPr>
            <w:tcW w:type="dxa" w:w="1247"/>
            <w:vAlign w:val="center"/>
          </w:tcPr>
          <w:p>
            <w:r>
              <w:rPr>
                <w:rFonts w:ascii="Arial" w:hAnsi="Arial"/>
                <w:color w:val="444444"/>
                <w:sz w:val="19"/>
              </w:rPr>
              <w:t>领先阶段</w:t>
            </w:r>
          </w:p>
        </w:tc>
        <w:tc>
          <w:tcPr>
            <w:tcW w:type="dxa" w:w="1587"/>
            <w:vAlign w:val="center"/>
          </w:tcPr>
          <w:p>
            <w:r>
              <w:rPr>
                <w:rFonts w:ascii="Arial" w:hAnsi="Arial"/>
                <w:color w:val="444444"/>
                <w:sz w:val="19"/>
              </w:rPr>
              <w:t>18个月+</w:t>
            </w:r>
          </w:p>
        </w:tc>
        <w:tc>
          <w:tcPr>
            <w:tcW w:type="dxa" w:w="4422"/>
            <w:vAlign w:val="center"/>
          </w:tcPr>
          <w:p>
            <w:r>
              <w:rPr>
                <w:rFonts w:ascii="Arial" w:hAnsi="Arial"/>
                <w:color w:val="444444"/>
                <w:sz w:val="19"/>
              </w:rPr>
              <w:t>多模态输入 + B2B企业版API</w:t>
            </w:r>
          </w:p>
        </w:tc>
        <w:tc>
          <w:tcPr>
            <w:tcW w:type="dxa" w:w="1928"/>
            <w:vAlign w:val="center"/>
          </w:tcPr>
          <w:p>
            <w:r>
              <w:rPr>
                <w:rFonts w:ascii="Arial" w:hAnsi="Arial"/>
                <w:color w:val="444444"/>
                <w:sz w:val="19"/>
              </w:rPr>
              <w:t>开辟B2B收入线，ARR量级突破</w:t>
            </w:r>
          </w:p>
        </w:tc>
      </w:tr>
    </w:tbl>
    <w:p>
      <w:pPr>
        <w:spacing w:after="0" w:before="0"/>
      </w:pPr>
    </w:p>
    <w:p>
      <w:pPr>
        <w:spacing w:before="120" w:after="120"/>
        <w:ind w:left="170" w:right="170"/>
        <w:shd w:val="clear" w:color="auto" w:fill="D6E4F0"/>
      </w:pPr>
      <w:r>
        <w:rPr>
          <w:rFonts w:ascii="Arial" w:hAnsi="Arial"/>
          <w:b/>
          <w:color w:val="1F497D"/>
          <w:sz w:val="21"/>
        </w:rPr>
        <w:t xml:space="preserve">✅ 第三部分结论  </w:t>
      </w:r>
      <w:r>
        <w:rPr>
          <w:rFonts w:ascii="Arial" w:hAnsi="Arial"/>
          <w:color w:val="444444"/>
          <w:sz w:val="21"/>
        </w:rPr>
        <w:t>IPIP-NEO 的AI化改造空间极大且路径清晰：题目层（CAT）、报告层（LLM）、推荐层（匹配引擎）三个P0/P1方向均有成熟技术先例可循。且IPIP-NEO开源题库是AI改造的天然优势——无版权障碍，可以自由标定IRT参数和构建向量数据库。选择MBTI等竞品框架则会面临严格的版权限制，无法进行深度AI改造。</w:t>
      </w:r>
    </w:p>
    <w:p>
      <w:r>
        <w:br w:type="page"/>
      </w:r>
    </w:p>
    <w:p>
      <w:pPr>
        <w:pStyle w:val="Heading1"/>
        <w:jc w:val="left"/>
      </w:pPr>
      <w:r>
        <w:rPr>
          <w:rFonts w:ascii="Arial" w:hAnsi="Arial"/>
          <w:color w:val="1F497D"/>
          <w:sz w:val="32"/>
        </w:rPr>
        <w:t>四、商业化落地可行性验证</w:t>
      </w:r>
    </w:p>
    <w:p>
      <w:pPr>
        <w:spacing w:after="80"/>
      </w:pPr>
      <w:r>
        <w:rPr>
          <w:rFonts w:ascii="Arial" w:hAnsi="Arial"/>
          <w:b w:val="0"/>
          <w:color w:val="444444"/>
          <w:sz w:val="21"/>
        </w:rPr>
        <w:t>从市场规模、定价模型、竞争格局三个角度验证 IPIP-NEO 路径的商业可行性。</w:t>
      </w:r>
    </w:p>
    <w:p>
      <w:pPr>
        <w:spacing w:after="0" w:before="0"/>
      </w:pPr>
    </w:p>
    <w:p>
      <w:pPr>
        <w:pStyle w:val="Heading2"/>
        <w:jc w:val="left"/>
      </w:pPr>
      <w:r>
        <w:rPr>
          <w:rFonts w:ascii="Arial" w:hAnsi="Arial"/>
          <w:color w:val="2E75B6"/>
          <w:sz w:val="26"/>
        </w:rPr>
        <w:t>4.1 全球及目标市场规模</w:t>
      </w:r>
    </w:p>
    <w:tbl>
      <w:tblPr>
        <w:tblStyle w:val="TableGrid"/>
        <w:tblW w:type="auto" w:w="0"/>
        <w:jc w:val="center"/>
        <w:tblLook w:firstColumn="1" w:firstRow="1" w:lastColumn="0" w:lastRow="0" w:noHBand="0" w:noVBand="1" w:val="04A0"/>
      </w:tblPr>
      <w:tblGrid>
        <w:gridCol w:w="3024"/>
        <w:gridCol w:w="3024"/>
        <w:gridCol w:w="3024"/>
      </w:tblGrid>
      <w:tr>
        <w:tc>
          <w:tcPr>
            <w:tcW w:type="dxa" w:w="3288"/>
            <w:vAlign w:val="center"/>
            <w:shd w:val="clear" w:color="auto" w:fill="2E75B6"/>
          </w:tcPr>
          <w:p>
            <w:pPr>
              <w:jc w:val="center"/>
            </w:pPr>
            <w:r>
              <w:rPr>
                <w:rFonts w:ascii="Arial" w:hAnsi="Arial"/>
                <w:b/>
                <w:color w:val="FFFFFF"/>
                <w:sz w:val="19"/>
              </w:rPr>
              <w:t>市场维度</w:t>
            </w:r>
          </w:p>
        </w:tc>
        <w:tc>
          <w:tcPr>
            <w:tcW w:type="dxa" w:w="2268"/>
            <w:vAlign w:val="center"/>
            <w:shd w:val="clear" w:color="auto" w:fill="2E75B6"/>
          </w:tcPr>
          <w:p>
            <w:pPr>
              <w:jc w:val="center"/>
            </w:pPr>
            <w:r>
              <w:rPr>
                <w:rFonts w:ascii="Arial" w:hAnsi="Arial"/>
                <w:b/>
                <w:color w:val="FFFFFF"/>
                <w:sz w:val="19"/>
              </w:rPr>
              <w:t>数据</w:t>
            </w:r>
          </w:p>
        </w:tc>
        <w:tc>
          <w:tcPr>
            <w:tcW w:type="dxa" w:w="3628"/>
            <w:vAlign w:val="center"/>
            <w:shd w:val="clear" w:color="auto" w:fill="2E75B6"/>
          </w:tcPr>
          <w:p>
            <w:pPr>
              <w:jc w:val="center"/>
            </w:pPr>
            <w:r>
              <w:rPr>
                <w:rFonts w:ascii="Arial" w:hAnsi="Arial"/>
                <w:b/>
                <w:color w:val="FFFFFF"/>
                <w:sz w:val="19"/>
              </w:rPr>
              <w:t>来源</w:t>
            </w:r>
          </w:p>
        </w:tc>
      </w:tr>
      <w:tr>
        <w:tc>
          <w:tcPr>
            <w:tcW w:type="dxa" w:w="3288"/>
            <w:vAlign w:val="center"/>
          </w:tcPr>
          <w:p>
            <w:r>
              <w:rPr>
                <w:rFonts w:ascii="Arial" w:hAnsi="Arial"/>
                <w:color w:val="444444"/>
                <w:sz w:val="19"/>
              </w:rPr>
              <w:t>全球人格测评市场（2024）</w:t>
            </w:r>
          </w:p>
        </w:tc>
        <w:tc>
          <w:tcPr>
            <w:tcW w:type="dxa" w:w="2268"/>
            <w:vAlign w:val="center"/>
          </w:tcPr>
          <w:p>
            <w:r>
              <w:rPr>
                <w:rFonts w:ascii="Arial" w:hAnsi="Arial"/>
                <w:color w:val="444444"/>
                <w:sz w:val="19"/>
              </w:rPr>
              <w:t>107亿美元</w:t>
            </w:r>
          </w:p>
        </w:tc>
        <w:tc>
          <w:tcPr>
            <w:tcW w:type="dxa" w:w="3628"/>
            <w:vAlign w:val="center"/>
          </w:tcPr>
          <w:p>
            <w:r>
              <w:rPr>
                <w:rFonts w:ascii="Arial" w:hAnsi="Arial"/>
                <w:color w:val="444444"/>
                <w:sz w:val="19"/>
              </w:rPr>
              <w:t>Mordor Intelligence</w:t>
            </w:r>
          </w:p>
        </w:tc>
      </w:tr>
      <w:tr>
        <w:tc>
          <w:tcPr>
            <w:tcW w:type="dxa" w:w="3288"/>
            <w:vAlign w:val="center"/>
          </w:tcPr>
          <w:p>
            <w:r>
              <w:rPr>
                <w:rFonts w:ascii="Arial" w:hAnsi="Arial"/>
                <w:color w:val="444444"/>
                <w:sz w:val="19"/>
              </w:rPr>
              <w:t>预测规模（2031）</w:t>
            </w:r>
          </w:p>
        </w:tc>
        <w:tc>
          <w:tcPr>
            <w:tcW w:type="dxa" w:w="2268"/>
            <w:vAlign w:val="center"/>
          </w:tcPr>
          <w:p>
            <w:r>
              <w:rPr>
                <w:rFonts w:ascii="Arial" w:hAnsi="Arial"/>
                <w:color w:val="444444"/>
                <w:sz w:val="19"/>
              </w:rPr>
              <w:t>243亿美元</w:t>
            </w:r>
          </w:p>
        </w:tc>
        <w:tc>
          <w:tcPr>
            <w:tcW w:type="dxa" w:w="3628"/>
            <w:vAlign w:val="center"/>
          </w:tcPr>
          <w:p>
            <w:r>
              <w:rPr>
                <w:rFonts w:ascii="Arial" w:hAnsi="Arial"/>
                <w:color w:val="444444"/>
                <w:sz w:val="19"/>
              </w:rPr>
              <w:t>12.7% CAGR</w:t>
            </w:r>
          </w:p>
        </w:tc>
      </w:tr>
      <w:tr>
        <w:tc>
          <w:tcPr>
            <w:tcW w:type="dxa" w:w="3288"/>
            <w:vAlign w:val="center"/>
          </w:tcPr>
          <w:p>
            <w:r>
              <w:rPr>
                <w:rFonts w:ascii="Arial" w:hAnsi="Arial"/>
                <w:color w:val="444444"/>
                <w:sz w:val="19"/>
              </w:rPr>
              <w:t>全球在线职业测试市场（2023）</w:t>
            </w:r>
          </w:p>
        </w:tc>
        <w:tc>
          <w:tcPr>
            <w:tcW w:type="dxa" w:w="2268"/>
            <w:vAlign w:val="center"/>
          </w:tcPr>
          <w:p>
            <w:r>
              <w:rPr>
                <w:rFonts w:ascii="Arial" w:hAnsi="Arial"/>
                <w:color w:val="444444"/>
                <w:sz w:val="19"/>
              </w:rPr>
              <w:t>15亿美元</w:t>
            </w:r>
          </w:p>
        </w:tc>
        <w:tc>
          <w:tcPr>
            <w:tcW w:type="dxa" w:w="3628"/>
            <w:vAlign w:val="center"/>
          </w:tcPr>
          <w:p>
            <w:r>
              <w:rPr>
                <w:rFonts w:ascii="Arial" w:hAnsi="Arial"/>
                <w:color w:val="444444"/>
                <w:sz w:val="19"/>
              </w:rPr>
              <w:t>DataIntelo</w:t>
            </w:r>
          </w:p>
        </w:tc>
      </w:tr>
      <w:tr>
        <w:tc>
          <w:tcPr>
            <w:tcW w:type="dxa" w:w="3288"/>
            <w:vAlign w:val="center"/>
          </w:tcPr>
          <w:p>
            <w:r>
              <w:rPr>
                <w:rFonts w:ascii="Arial" w:hAnsi="Arial"/>
                <w:color w:val="444444"/>
                <w:sz w:val="19"/>
              </w:rPr>
              <w:t>亚太区市场占比（2023）</w:t>
            </w:r>
          </w:p>
        </w:tc>
        <w:tc>
          <w:tcPr>
            <w:tcW w:type="dxa" w:w="2268"/>
            <w:vAlign w:val="center"/>
          </w:tcPr>
          <w:p>
            <w:r>
              <w:rPr>
                <w:rFonts w:ascii="Arial" w:hAnsi="Arial"/>
                <w:color w:val="444444"/>
                <w:sz w:val="19"/>
              </w:rPr>
              <w:t>30%（第二大）</w:t>
            </w:r>
          </w:p>
        </w:tc>
        <w:tc>
          <w:tcPr>
            <w:tcW w:type="dxa" w:w="3628"/>
            <w:vAlign w:val="center"/>
          </w:tcPr>
          <w:p>
            <w:r>
              <w:rPr>
                <w:rFonts w:ascii="Arial" w:hAnsi="Arial"/>
                <w:color w:val="444444"/>
                <w:sz w:val="19"/>
              </w:rPr>
              <w:t>2024年数据</w:t>
            </w:r>
          </w:p>
        </w:tc>
      </w:tr>
      <w:tr>
        <w:tc>
          <w:tcPr>
            <w:tcW w:type="dxa" w:w="3288"/>
            <w:vAlign w:val="center"/>
          </w:tcPr>
          <w:p>
            <w:r>
              <w:rPr>
                <w:rFonts w:ascii="Arial" w:hAnsi="Arial"/>
                <w:color w:val="444444"/>
                <w:sz w:val="19"/>
              </w:rPr>
              <w:t>拉丁美洲市场占比</w:t>
            </w:r>
          </w:p>
        </w:tc>
        <w:tc>
          <w:tcPr>
            <w:tcW w:type="dxa" w:w="2268"/>
            <w:vAlign w:val="center"/>
          </w:tcPr>
          <w:p>
            <w:r>
              <w:rPr>
                <w:rFonts w:ascii="Arial" w:hAnsi="Arial"/>
                <w:color w:val="444444"/>
                <w:sz w:val="19"/>
              </w:rPr>
              <w:t>5%（高速增长）</w:t>
            </w:r>
          </w:p>
        </w:tc>
        <w:tc>
          <w:tcPr>
            <w:tcW w:type="dxa" w:w="3628"/>
            <w:vAlign w:val="center"/>
          </w:tcPr>
          <w:p>
            <w:r>
              <w:rPr>
                <w:rFonts w:ascii="Arial" w:hAnsi="Arial"/>
                <w:color w:val="444444"/>
                <w:sz w:val="19"/>
              </w:rPr>
              <w:t>2024年数据</w:t>
            </w:r>
          </w:p>
        </w:tc>
      </w:tr>
      <w:tr>
        <w:tc>
          <w:tcPr>
            <w:tcW w:type="dxa" w:w="3288"/>
            <w:vAlign w:val="center"/>
          </w:tcPr>
          <w:p>
            <w:r>
              <w:rPr>
                <w:rFonts w:ascii="Arial" w:hAnsi="Arial"/>
                <w:color w:val="444444"/>
                <w:sz w:val="19"/>
              </w:rPr>
              <w:t>云端交付模式市场份额</w:t>
            </w:r>
          </w:p>
        </w:tc>
        <w:tc>
          <w:tcPr>
            <w:tcW w:type="dxa" w:w="2268"/>
            <w:vAlign w:val="center"/>
          </w:tcPr>
          <w:p>
            <w:r>
              <w:rPr>
                <w:rFonts w:ascii="Arial" w:hAnsi="Arial"/>
                <w:color w:val="444444"/>
                <w:sz w:val="19"/>
              </w:rPr>
              <w:t>66.73%</w:t>
            </w:r>
          </w:p>
        </w:tc>
        <w:tc>
          <w:tcPr>
            <w:tcW w:type="dxa" w:w="3628"/>
            <w:vAlign w:val="center"/>
          </w:tcPr>
          <w:p>
            <w:r>
              <w:rPr>
                <w:rFonts w:ascii="Arial" w:hAnsi="Arial"/>
                <w:color w:val="444444"/>
                <w:sz w:val="19"/>
              </w:rPr>
              <w:t>2024年数据</w:t>
            </w:r>
          </w:p>
        </w:tc>
      </w:tr>
    </w:tbl>
    <w:p>
      <w:pPr>
        <w:spacing w:after="0" w:before="0"/>
      </w:pPr>
    </w:p>
    <w:p>
      <w:pPr>
        <w:pStyle w:val="Heading2"/>
        <w:jc w:val="left"/>
      </w:pPr>
      <w:r>
        <w:rPr>
          <w:rFonts w:ascii="Arial" w:hAnsi="Arial"/>
          <w:color w:val="2E75B6"/>
          <w:sz w:val="26"/>
        </w:rPr>
        <w:t>4.2 定价基准参考</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2E75B6"/>
          </w:tcPr>
          <w:p>
            <w:pPr>
              <w:jc w:val="center"/>
            </w:pPr>
            <w:r>
              <w:rPr>
                <w:rFonts w:ascii="Arial" w:hAnsi="Arial"/>
                <w:b/>
                <w:color w:val="FFFFFF"/>
                <w:sz w:val="19"/>
              </w:rPr>
              <w:t>产品</w:t>
            </w:r>
          </w:p>
        </w:tc>
        <w:tc>
          <w:tcPr>
            <w:tcW w:type="dxa" w:w="1587"/>
            <w:vAlign w:val="center"/>
            <w:shd w:val="clear" w:color="auto" w:fill="2E75B6"/>
          </w:tcPr>
          <w:p>
            <w:pPr>
              <w:jc w:val="center"/>
            </w:pPr>
            <w:r>
              <w:rPr>
                <w:rFonts w:ascii="Arial" w:hAnsi="Arial"/>
                <w:b/>
                <w:color w:val="FFFFFF"/>
                <w:sz w:val="19"/>
              </w:rPr>
              <w:t>定价模式</w:t>
            </w:r>
          </w:p>
        </w:tc>
        <w:tc>
          <w:tcPr>
            <w:tcW w:type="dxa" w:w="2268"/>
            <w:vAlign w:val="center"/>
            <w:shd w:val="clear" w:color="auto" w:fill="2E75B6"/>
          </w:tcPr>
          <w:p>
            <w:pPr>
              <w:jc w:val="center"/>
            </w:pPr>
            <w:r>
              <w:rPr>
                <w:rFonts w:ascii="Arial" w:hAnsi="Arial"/>
                <w:b/>
                <w:color w:val="FFFFFF"/>
                <w:sz w:val="19"/>
              </w:rPr>
              <w:t>价格</w:t>
            </w:r>
          </w:p>
        </w:tc>
        <w:tc>
          <w:tcPr>
            <w:tcW w:type="dxa" w:w="1928"/>
            <w:vAlign w:val="center"/>
            <w:shd w:val="clear" w:color="auto" w:fill="2E75B6"/>
          </w:tcPr>
          <w:p>
            <w:pPr>
              <w:jc w:val="center"/>
            </w:pPr>
            <w:r>
              <w:rPr>
                <w:rFonts w:ascii="Arial" w:hAnsi="Arial"/>
                <w:b/>
                <w:color w:val="FFFFFF"/>
                <w:sz w:val="19"/>
              </w:rPr>
              <w:t>定位</w:t>
            </w:r>
          </w:p>
        </w:tc>
      </w:tr>
      <w:tr>
        <w:tc>
          <w:tcPr>
            <w:tcW w:type="dxa" w:w="2268"/>
            <w:vAlign w:val="center"/>
          </w:tcPr>
          <w:p>
            <w:r>
              <w:rPr>
                <w:rFonts w:ascii="Arial" w:hAnsi="Arial"/>
                <w:color w:val="444444"/>
                <w:sz w:val="19"/>
              </w:rPr>
              <w:t>16Personalities Premium</w:t>
            </w:r>
          </w:p>
        </w:tc>
        <w:tc>
          <w:tcPr>
            <w:tcW w:type="dxa" w:w="1587"/>
            <w:vAlign w:val="center"/>
          </w:tcPr>
          <w:p>
            <w:r>
              <w:rPr>
                <w:rFonts w:ascii="Arial" w:hAnsi="Arial"/>
                <w:color w:val="444444"/>
                <w:sz w:val="19"/>
              </w:rPr>
              <w:t>一次性付费</w:t>
            </w:r>
          </w:p>
        </w:tc>
        <w:tc>
          <w:tcPr>
            <w:tcW w:type="dxa" w:w="2268"/>
            <w:vAlign w:val="center"/>
          </w:tcPr>
          <w:p>
            <w:r>
              <w:rPr>
                <w:rFonts w:ascii="Arial" w:hAnsi="Arial"/>
                <w:color w:val="444444"/>
                <w:sz w:val="19"/>
              </w:rPr>
              <w:t>$29（职业套件）</w:t>
            </w:r>
          </w:p>
        </w:tc>
        <w:tc>
          <w:tcPr>
            <w:tcW w:type="dxa" w:w="1928"/>
            <w:vAlign w:val="center"/>
          </w:tcPr>
          <w:p>
            <w:r>
              <w:rPr>
                <w:rFonts w:ascii="Arial" w:hAnsi="Arial"/>
                <w:color w:val="444444"/>
                <w:sz w:val="19"/>
              </w:rPr>
              <w:t>B2C 大众</w:t>
            </w:r>
          </w:p>
        </w:tc>
      </w:tr>
      <w:tr>
        <w:tc>
          <w:tcPr>
            <w:tcW w:type="dxa" w:w="2268"/>
            <w:vAlign w:val="center"/>
          </w:tcPr>
          <w:p>
            <w:r>
              <w:rPr>
                <w:rFonts w:ascii="Arial" w:hAnsi="Arial"/>
                <w:color w:val="444444"/>
                <w:sz w:val="19"/>
              </w:rPr>
              <w:t>Crystal Knows</w:t>
            </w:r>
          </w:p>
        </w:tc>
        <w:tc>
          <w:tcPr>
            <w:tcW w:type="dxa" w:w="1587"/>
            <w:vAlign w:val="center"/>
          </w:tcPr>
          <w:p>
            <w:r>
              <w:rPr>
                <w:rFonts w:ascii="Arial" w:hAnsi="Arial"/>
                <w:color w:val="444444"/>
                <w:sz w:val="19"/>
              </w:rPr>
              <w:t>订阅制</w:t>
            </w:r>
          </w:p>
        </w:tc>
        <w:tc>
          <w:tcPr>
            <w:tcW w:type="dxa" w:w="2268"/>
            <w:vAlign w:val="center"/>
          </w:tcPr>
          <w:p>
            <w:r>
              <w:rPr>
                <w:rFonts w:ascii="Arial" w:hAnsi="Arial"/>
                <w:color w:val="444444"/>
                <w:sz w:val="19"/>
              </w:rPr>
              <w:t>$49/月</w:t>
            </w:r>
          </w:p>
        </w:tc>
        <w:tc>
          <w:tcPr>
            <w:tcW w:type="dxa" w:w="1928"/>
            <w:vAlign w:val="center"/>
          </w:tcPr>
          <w:p>
            <w:r>
              <w:rPr>
                <w:rFonts w:ascii="Arial" w:hAnsi="Arial"/>
                <w:color w:val="444444"/>
                <w:sz w:val="19"/>
              </w:rPr>
              <w:t>B2C 专业</w:t>
            </w:r>
          </w:p>
        </w:tc>
      </w:tr>
      <w:tr>
        <w:tc>
          <w:tcPr>
            <w:tcW w:type="dxa" w:w="2268"/>
            <w:vAlign w:val="center"/>
          </w:tcPr>
          <w:p>
            <w:r>
              <w:rPr>
                <w:rFonts w:ascii="Arial" w:hAnsi="Arial"/>
                <w:color w:val="444444"/>
                <w:sz w:val="19"/>
              </w:rPr>
              <w:t>Truity</w:t>
            </w:r>
          </w:p>
        </w:tc>
        <w:tc>
          <w:tcPr>
            <w:tcW w:type="dxa" w:w="1587"/>
            <w:vAlign w:val="center"/>
          </w:tcPr>
          <w:p>
            <w:r>
              <w:rPr>
                <w:rFonts w:ascii="Arial" w:hAnsi="Arial"/>
                <w:color w:val="444444"/>
                <w:sz w:val="19"/>
              </w:rPr>
              <w:t>单次付费</w:t>
            </w:r>
          </w:p>
        </w:tc>
        <w:tc>
          <w:tcPr>
            <w:tcW w:type="dxa" w:w="2268"/>
            <w:vAlign w:val="center"/>
          </w:tcPr>
          <w:p>
            <w:r>
              <w:rPr>
                <w:rFonts w:ascii="Arial" w:hAnsi="Arial"/>
                <w:color w:val="444444"/>
                <w:sz w:val="19"/>
              </w:rPr>
              <w:t>$29.95–$99.95</w:t>
            </w:r>
          </w:p>
        </w:tc>
        <w:tc>
          <w:tcPr>
            <w:tcW w:type="dxa" w:w="1928"/>
            <w:vAlign w:val="center"/>
          </w:tcPr>
          <w:p>
            <w:r>
              <w:rPr>
                <w:rFonts w:ascii="Arial" w:hAnsi="Arial"/>
                <w:color w:val="444444"/>
                <w:sz w:val="19"/>
              </w:rPr>
              <w:t>B2C 深度</w:t>
            </w:r>
          </w:p>
        </w:tc>
      </w:tr>
      <w:tr>
        <w:tc>
          <w:tcPr>
            <w:tcW w:type="dxa" w:w="2268"/>
            <w:vAlign w:val="center"/>
          </w:tcPr>
          <w:p>
            <w:r>
              <w:rPr>
                <w:rFonts w:ascii="Arial" w:hAnsi="Arial"/>
                <w:color w:val="444444"/>
                <w:sz w:val="19"/>
              </w:rPr>
              <w:t>Traitify</w:t>
            </w:r>
          </w:p>
        </w:tc>
        <w:tc>
          <w:tcPr>
            <w:tcW w:type="dxa" w:w="1587"/>
            <w:vAlign w:val="center"/>
          </w:tcPr>
          <w:p>
            <w:r>
              <w:rPr>
                <w:rFonts w:ascii="Arial" w:hAnsi="Arial"/>
                <w:color w:val="444444"/>
                <w:sz w:val="19"/>
              </w:rPr>
              <w:t>企业订阅</w:t>
            </w:r>
          </w:p>
        </w:tc>
        <w:tc>
          <w:tcPr>
            <w:tcW w:type="dxa" w:w="2268"/>
            <w:vAlign w:val="center"/>
          </w:tcPr>
          <w:p>
            <w:r>
              <w:rPr>
                <w:rFonts w:ascii="Arial" w:hAnsi="Arial"/>
                <w:color w:val="444444"/>
                <w:sz w:val="19"/>
              </w:rPr>
              <w:t>$500+/月</w:t>
            </w:r>
          </w:p>
        </w:tc>
        <w:tc>
          <w:tcPr>
            <w:tcW w:type="dxa" w:w="1928"/>
            <w:vAlign w:val="center"/>
          </w:tcPr>
          <w:p>
            <w:r>
              <w:rPr>
                <w:rFonts w:ascii="Arial" w:hAnsi="Arial"/>
                <w:color w:val="444444"/>
                <w:sz w:val="19"/>
              </w:rPr>
              <w:t>B2B</w:t>
            </w:r>
          </w:p>
        </w:tc>
      </w:tr>
      <w:tr>
        <w:tc>
          <w:tcPr>
            <w:tcW w:type="dxa" w:w="2268"/>
            <w:vAlign w:val="center"/>
          </w:tcPr>
          <w:p>
            <w:r>
              <w:rPr>
                <w:rFonts w:ascii="Arial" w:hAnsi="Arial"/>
                <w:color w:val="444444"/>
                <w:sz w:val="19"/>
              </w:rPr>
              <w:t>目标产品（印度）</w:t>
            </w:r>
          </w:p>
        </w:tc>
        <w:tc>
          <w:tcPr>
            <w:tcW w:type="dxa" w:w="1587"/>
            <w:vAlign w:val="center"/>
          </w:tcPr>
          <w:p>
            <w:r>
              <w:rPr>
                <w:rFonts w:ascii="Arial" w:hAnsi="Arial"/>
                <w:color w:val="444444"/>
                <w:sz w:val="19"/>
              </w:rPr>
              <w:t>单次付费</w:t>
            </w:r>
          </w:p>
        </w:tc>
        <w:tc>
          <w:tcPr>
            <w:tcW w:type="dxa" w:w="2268"/>
            <w:vAlign w:val="center"/>
          </w:tcPr>
          <w:p>
            <w:r>
              <w:rPr>
                <w:rFonts w:ascii="Arial" w:hAnsi="Arial"/>
                <w:color w:val="444444"/>
                <w:sz w:val="19"/>
              </w:rPr>
              <w:t>Rs 299（~$3.5）</w:t>
            </w:r>
          </w:p>
        </w:tc>
        <w:tc>
          <w:tcPr>
            <w:tcW w:type="dxa" w:w="1928"/>
            <w:vAlign w:val="center"/>
          </w:tcPr>
          <w:p>
            <w:r>
              <w:rPr>
                <w:rFonts w:ascii="Arial" w:hAnsi="Arial"/>
                <w:color w:val="444444"/>
                <w:sz w:val="19"/>
              </w:rPr>
              <w:t>B2C 大众</w:t>
            </w:r>
          </w:p>
        </w:tc>
      </w:tr>
      <w:tr>
        <w:tc>
          <w:tcPr>
            <w:tcW w:type="dxa" w:w="2268"/>
            <w:vAlign w:val="center"/>
          </w:tcPr>
          <w:p>
            <w:r>
              <w:rPr>
                <w:rFonts w:ascii="Arial" w:hAnsi="Arial"/>
                <w:color w:val="444444"/>
                <w:sz w:val="19"/>
              </w:rPr>
              <w:t>目标产品（SEA）</w:t>
            </w:r>
          </w:p>
        </w:tc>
        <w:tc>
          <w:tcPr>
            <w:tcW w:type="dxa" w:w="1587"/>
            <w:vAlign w:val="center"/>
          </w:tcPr>
          <w:p>
            <w:r>
              <w:rPr>
                <w:rFonts w:ascii="Arial" w:hAnsi="Arial"/>
                <w:color w:val="444444"/>
                <w:sz w:val="19"/>
              </w:rPr>
              <w:t>单次付费</w:t>
            </w:r>
          </w:p>
        </w:tc>
        <w:tc>
          <w:tcPr>
            <w:tcW w:type="dxa" w:w="2268"/>
            <w:vAlign w:val="center"/>
          </w:tcPr>
          <w:p>
            <w:r>
              <w:rPr>
                <w:rFonts w:ascii="Arial" w:hAnsi="Arial"/>
                <w:color w:val="444444"/>
                <w:sz w:val="19"/>
              </w:rPr>
              <w:t>USD 2.99</w:t>
            </w:r>
          </w:p>
        </w:tc>
        <w:tc>
          <w:tcPr>
            <w:tcW w:type="dxa" w:w="1928"/>
            <w:vAlign w:val="center"/>
          </w:tcPr>
          <w:p>
            <w:r>
              <w:rPr>
                <w:rFonts w:ascii="Arial" w:hAnsi="Arial"/>
                <w:color w:val="444444"/>
                <w:sz w:val="19"/>
              </w:rPr>
              <w:t>B2C 大众</w:t>
            </w:r>
          </w:p>
        </w:tc>
      </w:tr>
      <w:tr>
        <w:tc>
          <w:tcPr>
            <w:tcW w:type="dxa" w:w="2268"/>
            <w:vAlign w:val="center"/>
          </w:tcPr>
          <w:p>
            <w:r>
              <w:rPr>
                <w:rFonts w:ascii="Arial" w:hAnsi="Arial"/>
                <w:color w:val="444444"/>
                <w:sz w:val="19"/>
              </w:rPr>
              <w:t>目标产品（巴西）</w:t>
            </w:r>
          </w:p>
        </w:tc>
        <w:tc>
          <w:tcPr>
            <w:tcW w:type="dxa" w:w="1587"/>
            <w:vAlign w:val="center"/>
          </w:tcPr>
          <w:p>
            <w:r>
              <w:rPr>
                <w:rFonts w:ascii="Arial" w:hAnsi="Arial"/>
                <w:color w:val="444444"/>
                <w:sz w:val="19"/>
              </w:rPr>
              <w:t>单次付费</w:t>
            </w:r>
          </w:p>
        </w:tc>
        <w:tc>
          <w:tcPr>
            <w:tcW w:type="dxa" w:w="2268"/>
            <w:vAlign w:val="center"/>
          </w:tcPr>
          <w:p>
            <w:r>
              <w:rPr>
                <w:rFonts w:ascii="Arial" w:hAnsi="Arial"/>
                <w:color w:val="444444"/>
                <w:sz w:val="19"/>
              </w:rPr>
              <w:t>BRL 14.90</w:t>
            </w:r>
          </w:p>
        </w:tc>
        <w:tc>
          <w:tcPr>
            <w:tcW w:type="dxa" w:w="1928"/>
            <w:vAlign w:val="center"/>
          </w:tcPr>
          <w:p>
            <w:r>
              <w:rPr>
                <w:rFonts w:ascii="Arial" w:hAnsi="Arial"/>
                <w:color w:val="444444"/>
                <w:sz w:val="19"/>
              </w:rPr>
              <w:t>B2C 大众</w:t>
            </w:r>
          </w:p>
        </w:tc>
      </w:tr>
    </w:tbl>
    <w:p>
      <w:pPr>
        <w:spacing w:after="0" w:before="0"/>
      </w:pPr>
    </w:p>
    <w:p>
      <w:pPr>
        <w:pStyle w:val="Heading2"/>
        <w:jc w:val="left"/>
      </w:pPr>
      <w:r>
        <w:rPr>
          <w:rFonts w:ascii="Arial" w:hAnsi="Arial"/>
          <w:color w:val="2E75B6"/>
          <w:sz w:val="26"/>
        </w:rPr>
        <w:t>4.3 目标市场竞争格局</w:t>
      </w:r>
    </w:p>
    <w:p>
      <w:pPr>
        <w:spacing w:after="80"/>
      </w:pPr>
      <w:r>
        <w:rPr>
          <w:rFonts w:ascii="Arial" w:hAnsi="Arial"/>
          <w:b/>
          <w:color w:val="444444"/>
          <w:sz w:val="21"/>
        </w:rPr>
        <w:t>【印度市场】竞争最激烈，但均为B2B方向，B2C空白大</w:t>
      </w:r>
    </w:p>
    <w:p>
      <w:pPr>
        <w:pStyle w:val="ListBullet"/>
        <w:spacing w:after="60"/>
        <w:ind w:left="454"/>
      </w:pPr>
      <w:r>
        <w:rPr>
          <w:rFonts w:ascii="Arial" w:hAnsi="Arial"/>
          <w:color w:val="444444"/>
          <w:sz w:val="21"/>
        </w:rPr>
        <w:t>主要玩家：Mettl（已被Mercer收购）、PMaps、Psychometrica、CoCubes（Aon旗下）——全部以B2B企业招聘为主。</w:t>
      </w:r>
    </w:p>
    <w:p>
      <w:pPr>
        <w:pStyle w:val="ListBullet"/>
        <w:spacing w:after="60"/>
        <w:ind w:left="454"/>
      </w:pPr>
      <w:r>
        <w:rPr>
          <w:rFonts w:ascii="Arial" w:hAnsi="Arial"/>
          <w:color w:val="444444"/>
          <w:sz w:val="21"/>
        </w:rPr>
        <w:t>机会点：Rs299的个人版职业测评在印度几乎没有直接竞品。</w:t>
      </w:r>
    </w:p>
    <w:p>
      <w:pPr>
        <w:spacing w:after="0" w:before="0"/>
      </w:pPr>
    </w:p>
    <w:p>
      <w:pPr>
        <w:spacing w:after="80"/>
      </w:pPr>
      <w:r>
        <w:rPr>
          <w:rFonts w:ascii="Arial" w:hAnsi="Arial"/>
          <w:b/>
          <w:color w:val="444444"/>
          <w:sz w:val="21"/>
        </w:rPr>
        <w:t>【东南亚市场】工具碎片化，本地玩家弱小</w:t>
      </w:r>
    </w:p>
    <w:p>
      <w:pPr>
        <w:pStyle w:val="ListBullet"/>
        <w:spacing w:after="60"/>
        <w:ind w:left="454"/>
      </w:pPr>
      <w:r>
        <w:rPr>
          <w:rFonts w:ascii="Arial" w:hAnsi="Arial"/>
          <w:color w:val="444444"/>
          <w:sz w:val="21"/>
        </w:rPr>
        <w:t>主要玩家：Myers-Briggs公司（直营）、EQuest Asia、Emergenetics——均为MBTI或传统工具。</w:t>
      </w:r>
    </w:p>
    <w:p>
      <w:pPr>
        <w:pStyle w:val="ListBullet"/>
        <w:spacing w:after="60"/>
        <w:ind w:left="454"/>
      </w:pPr>
      <w:r>
        <w:rPr>
          <w:rFonts w:ascii="Arial" w:hAnsi="Arial"/>
          <w:color w:val="444444"/>
          <w:sz w:val="21"/>
        </w:rPr>
        <w:t>机会点：菲律宾、印尼、越南几乎没有本土职业测评SaaS，市场空白明显。</w:t>
      </w:r>
    </w:p>
    <w:p>
      <w:pPr>
        <w:spacing w:after="0" w:before="0"/>
      </w:pPr>
    </w:p>
    <w:p>
      <w:pPr>
        <w:spacing w:after="80"/>
      </w:pPr>
      <w:r>
        <w:rPr>
          <w:rFonts w:ascii="Arial" w:hAnsi="Arial"/>
          <w:b/>
          <w:color w:val="444444"/>
          <w:sz w:val="21"/>
        </w:rPr>
        <w:t>【巴西市场】竞争最弱，但语言壁垒是门槛</w:t>
      </w:r>
    </w:p>
    <w:p>
      <w:pPr>
        <w:pStyle w:val="ListBullet"/>
        <w:spacing w:after="60"/>
        <w:ind w:left="454"/>
      </w:pPr>
      <w:r>
        <w:rPr>
          <w:rFonts w:ascii="Arial" w:hAnsi="Arial"/>
          <w:color w:val="444444"/>
          <w:sz w:val="21"/>
        </w:rPr>
        <w:t>拉丁美洲市场占全獳3%，主要被16Personalities等英语产品占据。</w:t>
      </w:r>
    </w:p>
    <w:p>
      <w:pPr>
        <w:pStyle w:val="ListBullet"/>
        <w:spacing w:after="60"/>
        <w:ind w:left="454"/>
      </w:pPr>
      <w:r>
        <w:rPr>
          <w:rFonts w:ascii="Arial" w:hAnsi="Arial"/>
          <w:color w:val="444444"/>
          <w:sz w:val="21"/>
        </w:rPr>
        <w:t>巴西本土几乎没有葡萄牙语的专业职业测评SaaS，先发优势极大。</w:t>
      </w:r>
    </w:p>
    <w:p>
      <w:pPr>
        <w:spacing w:after="0" w:before="0"/>
      </w:pPr>
    </w:p>
    <w:p>
      <w:pPr>
        <w:pStyle w:val="Heading2"/>
        <w:jc w:val="left"/>
      </w:pPr>
      <w:r>
        <w:rPr>
          <w:rFonts w:ascii="Arial" w:hAnsi="Arial"/>
          <w:color w:val="2E75B6"/>
          <w:sz w:val="26"/>
        </w:rPr>
        <w:t>4.4 商业模式验证数据</w:t>
      </w:r>
    </w:p>
    <w:p>
      <w:pPr>
        <w:pStyle w:val="ListBullet"/>
        <w:spacing w:after="60"/>
        <w:ind w:left="454"/>
      </w:pPr>
      <w:r>
        <w:rPr>
          <w:rFonts w:ascii="Arial" w:hAnsi="Arial"/>
          <w:color w:val="444444"/>
          <w:sz w:val="21"/>
        </w:rPr>
        <w:t>16Personalities：全球累计14亿次测评完成，月度流量价値 $702万，证明免费+付费升级模式的超强吸引力。</w:t>
      </w:r>
    </w:p>
    <w:p>
      <w:pPr>
        <w:pStyle w:val="ListBullet"/>
        <w:spacing w:after="60"/>
        <w:ind w:left="454"/>
      </w:pPr>
      <w:r>
        <w:rPr>
          <w:rFonts w:ascii="Arial" w:hAnsi="Arial"/>
          <w:color w:val="444444"/>
          <w:sz w:val="21"/>
        </w:rPr>
        <w:t>互动内容vs静态内容转化率：互动型测评产品的付费转化率是静态内容的2倍（Demand Metric数据）。</w:t>
      </w:r>
    </w:p>
    <w:p>
      <w:pPr>
        <w:pStyle w:val="ListBullet"/>
        <w:spacing w:after="60"/>
        <w:ind w:left="454"/>
      </w:pPr>
      <w:r>
        <w:rPr>
          <w:rFonts w:ascii="Arial" w:hAnsi="Arial"/>
          <w:color w:val="444444"/>
          <w:sz w:val="21"/>
        </w:rPr>
        <w:t>B2C定价区间：$29–$100的单次付费是市场主流，目标定价（Rs299/BRL14.90/USD2.99）显著低于市场基准，利于快速获客。</w:t>
      </w:r>
    </w:p>
    <w:p>
      <w:pPr>
        <w:spacing w:after="0" w:before="0"/>
      </w:pPr>
    </w:p>
    <w:p>
      <w:pPr>
        <w:spacing w:before="120" w:after="120"/>
        <w:ind w:left="170" w:right="170"/>
        <w:shd w:val="clear" w:color="auto" w:fill="D6E4F0"/>
      </w:pPr>
      <w:r>
        <w:rPr>
          <w:rFonts w:ascii="Arial" w:hAnsi="Arial"/>
          <w:b/>
          <w:color w:val="1F497D"/>
          <w:sz w:val="21"/>
        </w:rPr>
        <w:t xml:space="preserve">✅ 第四部分结论  </w:t>
      </w:r>
      <w:r>
        <w:rPr>
          <w:rFonts w:ascii="Arial" w:hAnsi="Arial"/>
          <w:color w:val="444444"/>
          <w:sz w:val="21"/>
        </w:rPr>
        <w:t>目标市场（印度/东南亚/巴西）的B2C个人职业测评SaaS存在显著市场空白。IPIP-NEO作为开源框架无授权成本，相比MBTI等商业框架具备极大的利润率优势。建议以低价B2C快速获量 → 积累用户数据 → 开辟B2B企业线的路径逐步扩张。</w:t>
      </w:r>
    </w:p>
    <w:p>
      <w:r>
        <w:br w:type="page"/>
      </w:r>
    </w:p>
    <w:p>
      <w:pPr>
        <w:pStyle w:val="Heading1"/>
        <w:jc w:val="left"/>
      </w:pPr>
      <w:r>
        <w:rPr>
          <w:rFonts w:ascii="Arial" w:hAnsi="Arial"/>
          <w:color w:val="1F497D"/>
          <w:sz w:val="32"/>
        </w:rPr>
        <w:t>五、综合建议与行动计划</w:t>
      </w:r>
    </w:p>
    <w:p>
      <w:pPr>
        <w:pStyle w:val="Heading2"/>
        <w:jc w:val="left"/>
      </w:pPr>
      <w:r>
        <w:rPr>
          <w:rFonts w:ascii="Arial" w:hAnsi="Arial"/>
          <w:color w:val="2E75B6"/>
          <w:sz w:val="26"/>
        </w:rPr>
        <w:t>5.1 最终框架选型建议</w:t>
      </w:r>
    </w:p>
    <w:tbl>
      <w:tblPr>
        <w:tblStyle w:val="TableGrid"/>
        <w:tblW w:type="auto" w:w="0"/>
        <w:jc w:val="center"/>
        <w:tblLook w:firstColumn="1" w:firstRow="1" w:lastColumn="0" w:lastRow="0" w:noHBand="0" w:noVBand="1" w:val="04A0"/>
      </w:tblPr>
      <w:tblGrid>
        <w:gridCol w:w="3024"/>
        <w:gridCol w:w="3024"/>
        <w:gridCol w:w="3024"/>
      </w:tblGrid>
      <w:tr>
        <w:tc>
          <w:tcPr>
            <w:tcW w:type="dxa" w:w="1587"/>
            <w:vAlign w:val="center"/>
            <w:shd w:val="clear" w:color="auto" w:fill="2E75B6"/>
          </w:tcPr>
          <w:p>
            <w:pPr>
              <w:jc w:val="center"/>
            </w:pPr>
            <w:r>
              <w:rPr>
                <w:rFonts w:ascii="Arial" w:hAnsi="Arial"/>
                <w:b/>
                <w:color w:val="FFFFFF"/>
                <w:sz w:val="19"/>
              </w:rPr>
              <w:t>建议</w:t>
            </w:r>
          </w:p>
        </w:tc>
        <w:tc>
          <w:tcPr>
            <w:tcW w:type="dxa" w:w="3515"/>
            <w:vAlign w:val="center"/>
            <w:shd w:val="clear" w:color="auto" w:fill="2E75B6"/>
          </w:tcPr>
          <w:p>
            <w:pPr>
              <w:jc w:val="center"/>
            </w:pPr>
            <w:r>
              <w:rPr>
                <w:rFonts w:ascii="Arial" w:hAnsi="Arial"/>
                <w:b/>
                <w:color w:val="FFFFFF"/>
                <w:sz w:val="19"/>
              </w:rPr>
              <w:t>具体内容</w:t>
            </w:r>
          </w:p>
        </w:tc>
        <w:tc>
          <w:tcPr>
            <w:tcW w:type="dxa" w:w="4082"/>
            <w:vAlign w:val="center"/>
            <w:shd w:val="clear" w:color="auto" w:fill="2E75B6"/>
          </w:tcPr>
          <w:p>
            <w:pPr>
              <w:jc w:val="center"/>
            </w:pPr>
            <w:r>
              <w:rPr>
                <w:rFonts w:ascii="Arial" w:hAnsi="Arial"/>
                <w:b/>
                <w:color w:val="FFFFFF"/>
                <w:sz w:val="19"/>
              </w:rPr>
              <w:t>理由</w:t>
            </w:r>
          </w:p>
        </w:tc>
      </w:tr>
      <w:tr>
        <w:tc>
          <w:tcPr>
            <w:tcW w:type="dxa" w:w="1587"/>
            <w:vAlign w:val="center"/>
          </w:tcPr>
          <w:p>
            <w:r>
              <w:rPr>
                <w:rFonts w:ascii="Arial" w:hAnsi="Arial"/>
                <w:color w:val="444444"/>
                <w:sz w:val="19"/>
              </w:rPr>
              <w:t>核心框架</w:t>
            </w:r>
          </w:p>
        </w:tc>
        <w:tc>
          <w:tcPr>
            <w:tcW w:type="dxa" w:w="3515"/>
            <w:vAlign w:val="center"/>
          </w:tcPr>
          <w:p>
            <w:r>
              <w:rPr>
                <w:rFonts w:ascii="Arial" w:hAnsi="Arial"/>
                <w:color w:val="444444"/>
                <w:sz w:val="19"/>
              </w:rPr>
              <w:t>IPIP-NEO-120（压缩至CAT自适应25-40题）</w:t>
            </w:r>
          </w:p>
        </w:tc>
        <w:tc>
          <w:tcPr>
            <w:tcW w:type="dxa" w:w="4082"/>
            <w:vAlign w:val="center"/>
          </w:tcPr>
          <w:p>
            <w:r>
              <w:rPr>
                <w:rFonts w:ascii="Arial" w:hAnsi="Arial"/>
                <w:color w:val="444444"/>
                <w:sz w:val="19"/>
              </w:rPr>
              <w:t>最高科学效度 + 开源无版权 + AI改造友好</w:t>
            </w:r>
          </w:p>
        </w:tc>
      </w:tr>
      <w:tr>
        <w:tc>
          <w:tcPr>
            <w:tcW w:type="dxa" w:w="1587"/>
            <w:vAlign w:val="center"/>
          </w:tcPr>
          <w:p>
            <w:r>
              <w:rPr>
                <w:rFonts w:ascii="Arial" w:hAnsi="Arial"/>
                <w:color w:val="444444"/>
                <w:sz w:val="19"/>
              </w:rPr>
              <w:t>补充模块</w:t>
            </w:r>
          </w:p>
        </w:tc>
        <w:tc>
          <w:tcPr>
            <w:tcW w:type="dxa" w:w="3515"/>
            <w:vAlign w:val="center"/>
          </w:tcPr>
          <w:p>
            <w:r>
              <w:rPr>
                <w:rFonts w:ascii="Arial" w:hAnsi="Arial"/>
                <w:color w:val="444444"/>
                <w:sz w:val="19"/>
              </w:rPr>
              <w:t>Holland RIASEC 6型（12题简化版）</w:t>
            </w:r>
          </w:p>
        </w:tc>
        <w:tc>
          <w:tcPr>
            <w:tcW w:type="dxa" w:w="4082"/>
            <w:vAlign w:val="center"/>
          </w:tcPr>
          <w:p>
            <w:r>
              <w:rPr>
                <w:rFonts w:ascii="Arial" w:hAnsi="Arial"/>
                <w:color w:val="444444"/>
                <w:sz w:val="19"/>
              </w:rPr>
              <w:t>弥补大五对职业类型预测的不足</w:t>
            </w:r>
          </w:p>
        </w:tc>
      </w:tr>
      <w:tr>
        <w:tc>
          <w:tcPr>
            <w:tcW w:type="dxa" w:w="1587"/>
            <w:vAlign w:val="center"/>
          </w:tcPr>
          <w:p>
            <w:r>
              <w:rPr>
                <w:rFonts w:ascii="Arial" w:hAnsi="Arial"/>
                <w:color w:val="444444"/>
                <w:sz w:val="19"/>
              </w:rPr>
              <w:t>本地化策略</w:t>
            </w:r>
          </w:p>
        </w:tc>
        <w:tc>
          <w:tcPr>
            <w:tcW w:type="dxa" w:w="3515"/>
            <w:vAlign w:val="center"/>
          </w:tcPr>
          <w:p>
            <w:r>
              <w:rPr>
                <w:rFonts w:ascii="Arial" w:hAnsi="Arial"/>
                <w:color w:val="444444"/>
                <w:sz w:val="19"/>
              </w:rPr>
              <w:t>第一批：新加坡+巴西；第二批：印度；第三批：印尼/菲律宾/越南</w:t>
            </w:r>
          </w:p>
        </w:tc>
        <w:tc>
          <w:tcPr>
            <w:tcW w:type="dxa" w:w="4082"/>
            <w:vAlign w:val="center"/>
          </w:tcPr>
          <w:p>
            <w:r>
              <w:rPr>
                <w:rFonts w:ascii="Arial" w:hAnsi="Arial"/>
                <w:color w:val="444444"/>
                <w:sz w:val="19"/>
              </w:rPr>
              <w:t>按适配成本由低到高分阶段推进</w:t>
            </w:r>
          </w:p>
        </w:tc>
      </w:tr>
      <w:tr>
        <w:tc>
          <w:tcPr>
            <w:tcW w:type="dxa" w:w="1587"/>
            <w:vAlign w:val="center"/>
          </w:tcPr>
          <w:p>
            <w:r>
              <w:rPr>
                <w:rFonts w:ascii="Arial" w:hAnsi="Arial"/>
                <w:color w:val="444444"/>
                <w:sz w:val="19"/>
              </w:rPr>
              <w:t>AI第一优先</w:t>
            </w:r>
          </w:p>
        </w:tc>
        <w:tc>
          <w:tcPr>
            <w:tcW w:type="dxa" w:w="3515"/>
            <w:vAlign w:val="center"/>
          </w:tcPr>
          <w:p>
            <w:r>
              <w:rPr>
                <w:rFonts w:ascii="Arial" w:hAnsi="Arial"/>
                <w:color w:val="444444"/>
                <w:sz w:val="19"/>
              </w:rPr>
              <w:t>LLM报告生成（MVP即上线）</w:t>
            </w:r>
          </w:p>
        </w:tc>
        <w:tc>
          <w:tcPr>
            <w:tcW w:type="dxa" w:w="4082"/>
            <w:vAlign w:val="center"/>
          </w:tcPr>
          <w:p>
            <w:r>
              <w:rPr>
                <w:rFonts w:ascii="Arial" w:hAnsi="Arial"/>
                <w:color w:val="444444"/>
                <w:sz w:val="19"/>
              </w:rPr>
              <w:t>成本低、价値感最强、付费转化杠杆最大</w:t>
            </w:r>
          </w:p>
        </w:tc>
      </w:tr>
      <w:tr>
        <w:tc>
          <w:tcPr>
            <w:tcW w:type="dxa" w:w="1587"/>
            <w:vAlign w:val="center"/>
          </w:tcPr>
          <w:p>
            <w:r>
              <w:rPr>
                <w:rFonts w:ascii="Arial" w:hAnsi="Arial"/>
                <w:color w:val="444444"/>
                <w:sz w:val="19"/>
              </w:rPr>
              <w:t>护城河建设</w:t>
            </w:r>
          </w:p>
        </w:tc>
        <w:tc>
          <w:tcPr>
            <w:tcW w:type="dxa" w:w="3515"/>
            <w:vAlign w:val="center"/>
          </w:tcPr>
          <w:p>
            <w:r>
              <w:rPr>
                <w:rFonts w:ascii="Arial" w:hAnsi="Arial"/>
                <w:color w:val="444444"/>
                <w:sz w:val="19"/>
              </w:rPr>
              <w:t>本地职业数据库 + CAT题库标定</w:t>
            </w:r>
          </w:p>
        </w:tc>
        <w:tc>
          <w:tcPr>
            <w:tcW w:type="dxa" w:w="4082"/>
            <w:vAlign w:val="center"/>
          </w:tcPr>
          <w:p>
            <w:r>
              <w:rPr>
                <w:rFonts w:ascii="Arial" w:hAnsi="Arial"/>
                <w:color w:val="444444"/>
                <w:sz w:val="19"/>
              </w:rPr>
              <w:t>形成难以复制的数据壁垒</w:t>
            </w:r>
          </w:p>
        </w:tc>
      </w:tr>
    </w:tbl>
    <w:p>
      <w:pPr>
        <w:spacing w:after="0" w:before="0"/>
      </w:pPr>
    </w:p>
    <w:p>
      <w:pPr>
        <w:pStyle w:val="Heading2"/>
        <w:jc w:val="left"/>
      </w:pPr>
      <w:r>
        <w:rPr>
          <w:rFonts w:ascii="Arial" w:hAnsi="Arial"/>
          <w:color w:val="2E75B6"/>
          <w:sz w:val="26"/>
        </w:rPr>
        <w:t>5.2 需重点关注的风险</w:t>
      </w:r>
    </w:p>
    <w:p>
      <w:pPr>
        <w:pStyle w:val="ListBullet"/>
        <w:spacing w:after="60"/>
        <w:ind w:left="454"/>
      </w:pPr>
      <w:r>
        <w:rPr>
          <w:rFonts w:ascii="Arial" w:hAnsi="Arial"/>
          <w:color w:val="444444"/>
          <w:sz w:val="21"/>
        </w:rPr>
        <w:t>文化适配风险（中等）：印尼、菲律宾的大五因子结构偏差需通过本地化改造解决。建议在MVP上线前完成至少一轮本地用户验证测试（N≥200）。</w:t>
      </w:r>
    </w:p>
    <w:p>
      <w:pPr>
        <w:pStyle w:val="ListBullet"/>
        <w:spacing w:after="60"/>
        <w:ind w:left="454"/>
      </w:pPr>
      <w:r>
        <w:rPr>
          <w:rFonts w:ascii="Arial" w:hAnsi="Arial"/>
          <w:color w:val="444444"/>
          <w:sz w:val="21"/>
        </w:rPr>
        <w:t>竞品跟进风险（低）：IPIP-NEO是公开框架，竞品可以复制题库。真正的壁垒在于AI报告质量、本地职业数据库和用户口碑，这些是不可快速复制的。</w:t>
      </w:r>
    </w:p>
    <w:p>
      <w:pPr>
        <w:pStyle w:val="ListBullet"/>
        <w:spacing w:after="60"/>
        <w:ind w:left="454"/>
      </w:pPr>
      <w:r>
        <w:rPr>
          <w:rFonts w:ascii="Arial" w:hAnsi="Arial"/>
          <w:color w:val="444444"/>
          <w:sz w:val="21"/>
        </w:rPr>
        <w:t>数据隐私风险（中等）：各市场数据法规差异大（印度DPDP法、新加坡PDPA、巴西LGPD），需在产品架构层提前规划合规方案。</w:t>
      </w:r>
    </w:p>
    <w:p>
      <w:pPr>
        <w:spacing w:after="0" w:before="0"/>
      </w:pPr>
    </w:p>
    <w:p>
      <w:pPr>
        <w:pStyle w:val="Heading2"/>
        <w:jc w:val="left"/>
      </w:pPr>
      <w:r>
        <w:rPr>
          <w:rFonts w:ascii="Arial" w:hAnsi="Arial"/>
          <w:color w:val="2E75B6"/>
          <w:sz w:val="26"/>
        </w:rPr>
        <w:t>5.3 立即可执行的下一步行动</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3969"/>
            <w:vAlign w:val="center"/>
            <w:shd w:val="clear" w:color="auto" w:fill="2E75B6"/>
          </w:tcPr>
          <w:p>
            <w:pPr>
              <w:jc w:val="center"/>
            </w:pPr>
            <w:r>
              <w:rPr>
                <w:rFonts w:ascii="Arial" w:hAnsi="Arial"/>
                <w:b/>
                <w:color w:val="FFFFFF"/>
                <w:sz w:val="19"/>
              </w:rPr>
              <w:t>行动</w:t>
            </w:r>
          </w:p>
        </w:tc>
        <w:tc>
          <w:tcPr>
            <w:tcW w:type="dxa" w:w="1020"/>
            <w:vAlign w:val="center"/>
            <w:shd w:val="clear" w:color="auto" w:fill="2E75B6"/>
          </w:tcPr>
          <w:p>
            <w:pPr>
              <w:jc w:val="center"/>
            </w:pPr>
            <w:r>
              <w:rPr>
                <w:rFonts w:ascii="Arial" w:hAnsi="Arial"/>
                <w:b/>
                <w:color w:val="FFFFFF"/>
                <w:sz w:val="19"/>
              </w:rPr>
              <w:t>负责方向</w:t>
            </w:r>
          </w:p>
        </w:tc>
        <w:tc>
          <w:tcPr>
            <w:tcW w:type="dxa" w:w="1134"/>
            <w:vAlign w:val="center"/>
            <w:shd w:val="clear" w:color="auto" w:fill="2E75B6"/>
          </w:tcPr>
          <w:p>
            <w:pPr>
              <w:jc w:val="center"/>
            </w:pPr>
            <w:r>
              <w:rPr>
                <w:rFonts w:ascii="Arial" w:hAnsi="Arial"/>
                <w:b/>
                <w:color w:val="FFFFFF"/>
                <w:sz w:val="19"/>
              </w:rPr>
              <w:t>时限</w:t>
            </w:r>
          </w:p>
        </w:tc>
        <w:tc>
          <w:tcPr>
            <w:tcW w:type="dxa" w:w="907"/>
            <w:vAlign w:val="center"/>
            <w:shd w:val="clear" w:color="auto" w:fill="2E75B6"/>
          </w:tcPr>
          <w:p>
            <w:pPr>
              <w:jc w:val="center"/>
            </w:pPr>
            <w:r>
              <w:rPr>
                <w:rFonts w:ascii="Arial" w:hAnsi="Arial"/>
                <w:b/>
                <w:color w:val="FFFFFF"/>
                <w:sz w:val="19"/>
              </w:rPr>
              <w:t>优先级</w:t>
            </w:r>
          </w:p>
        </w:tc>
      </w:tr>
      <w:tr>
        <w:tc>
          <w:tcPr>
            <w:tcW w:type="dxa" w:w="3969"/>
            <w:vAlign w:val="center"/>
          </w:tcPr>
          <w:p>
            <w:r>
              <w:rPr>
                <w:rFonts w:ascii="Arial" w:hAnsi="Arial"/>
                <w:color w:val="444444"/>
                <w:sz w:val="19"/>
              </w:rPr>
              <w:t>搞建 IPIP-NEO-120 题库 IRT 参数标定方案</w:t>
            </w:r>
          </w:p>
        </w:tc>
        <w:tc>
          <w:tcPr>
            <w:tcW w:type="dxa" w:w="1020"/>
            <w:vAlign w:val="center"/>
          </w:tcPr>
          <w:p>
            <w:r>
              <w:rPr>
                <w:rFonts w:ascii="Arial" w:hAnsi="Arial"/>
                <w:color w:val="444444"/>
                <w:sz w:val="19"/>
              </w:rPr>
              <w:t>技术</w:t>
            </w:r>
          </w:p>
        </w:tc>
        <w:tc>
          <w:tcPr>
            <w:tcW w:type="dxa" w:w="1134"/>
            <w:vAlign w:val="center"/>
          </w:tcPr>
          <w:p>
            <w:r>
              <w:rPr>
                <w:rFonts w:ascii="Arial" w:hAnsi="Arial"/>
                <w:color w:val="444444"/>
                <w:sz w:val="19"/>
              </w:rPr>
              <w:t>2周内</w:t>
            </w:r>
          </w:p>
        </w:tc>
        <w:tc>
          <w:tcPr>
            <w:tcW w:type="dxa" w:w="907"/>
            <w:vAlign w:val="center"/>
          </w:tcPr>
          <w:p>
            <w:r>
              <w:rPr>
                <w:rFonts w:ascii="Arial" w:hAnsi="Arial"/>
                <w:color w:val="444444"/>
                <w:sz w:val="19"/>
              </w:rPr>
              <w:t>🔴 P0</w:t>
            </w:r>
          </w:p>
        </w:tc>
      </w:tr>
      <w:tr>
        <w:tc>
          <w:tcPr>
            <w:tcW w:type="dxa" w:w="3969"/>
            <w:vAlign w:val="center"/>
          </w:tcPr>
          <w:p>
            <w:r>
              <w:rPr>
                <w:rFonts w:ascii="Arial" w:hAnsi="Arial"/>
                <w:color w:val="444444"/>
                <w:sz w:val="19"/>
              </w:rPr>
              <w:t>用 GPT-4o 搞建 LLM 报告生成 Prompt 原型</w:t>
            </w:r>
          </w:p>
        </w:tc>
        <w:tc>
          <w:tcPr>
            <w:tcW w:type="dxa" w:w="1020"/>
            <w:vAlign w:val="center"/>
          </w:tcPr>
          <w:p>
            <w:r>
              <w:rPr>
                <w:rFonts w:ascii="Arial" w:hAnsi="Arial"/>
                <w:color w:val="444444"/>
                <w:sz w:val="19"/>
              </w:rPr>
              <w:t>产品</w:t>
            </w:r>
          </w:p>
        </w:tc>
        <w:tc>
          <w:tcPr>
            <w:tcW w:type="dxa" w:w="1134"/>
            <w:vAlign w:val="center"/>
          </w:tcPr>
          <w:p>
            <w:r>
              <w:rPr>
                <w:rFonts w:ascii="Arial" w:hAnsi="Arial"/>
                <w:color w:val="444444"/>
                <w:sz w:val="19"/>
              </w:rPr>
              <w:t>1周内</w:t>
            </w:r>
          </w:p>
        </w:tc>
        <w:tc>
          <w:tcPr>
            <w:tcW w:type="dxa" w:w="907"/>
            <w:vAlign w:val="center"/>
          </w:tcPr>
          <w:p>
            <w:r>
              <w:rPr>
                <w:rFonts w:ascii="Arial" w:hAnsi="Arial"/>
                <w:color w:val="444444"/>
                <w:sz w:val="19"/>
              </w:rPr>
              <w:t>🔴 P0</w:t>
            </w:r>
          </w:p>
        </w:tc>
      </w:tr>
      <w:tr>
        <w:tc>
          <w:tcPr>
            <w:tcW w:type="dxa" w:w="3969"/>
            <w:vAlign w:val="center"/>
          </w:tcPr>
          <w:p>
            <w:r>
              <w:rPr>
                <w:rFonts w:ascii="Arial" w:hAnsi="Arial"/>
                <w:color w:val="444444"/>
                <w:sz w:val="19"/>
              </w:rPr>
              <w:t>完成巴西葡萄牙语版题目翻译与语义等价性检验</w:t>
            </w:r>
          </w:p>
        </w:tc>
        <w:tc>
          <w:tcPr>
            <w:tcW w:type="dxa" w:w="1020"/>
            <w:vAlign w:val="center"/>
          </w:tcPr>
          <w:p>
            <w:r>
              <w:rPr>
                <w:rFonts w:ascii="Arial" w:hAnsi="Arial"/>
                <w:color w:val="444444"/>
                <w:sz w:val="19"/>
              </w:rPr>
              <w:t>本地化</w:t>
            </w:r>
          </w:p>
        </w:tc>
        <w:tc>
          <w:tcPr>
            <w:tcW w:type="dxa" w:w="1134"/>
            <w:vAlign w:val="center"/>
          </w:tcPr>
          <w:p>
            <w:r>
              <w:rPr>
                <w:rFonts w:ascii="Arial" w:hAnsi="Arial"/>
                <w:color w:val="444444"/>
                <w:sz w:val="19"/>
              </w:rPr>
              <w:t>3周内</w:t>
            </w:r>
          </w:p>
        </w:tc>
        <w:tc>
          <w:tcPr>
            <w:tcW w:type="dxa" w:w="907"/>
            <w:vAlign w:val="center"/>
          </w:tcPr>
          <w:p>
            <w:r>
              <w:rPr>
                <w:rFonts w:ascii="Arial" w:hAnsi="Arial"/>
                <w:color w:val="444444"/>
                <w:sz w:val="19"/>
              </w:rPr>
              <w:t>🔴 P0</w:t>
            </w:r>
          </w:p>
        </w:tc>
      </w:tr>
      <w:tr>
        <w:tc>
          <w:tcPr>
            <w:tcW w:type="dxa" w:w="3969"/>
            <w:vAlign w:val="center"/>
          </w:tcPr>
          <w:p>
            <w:r>
              <w:rPr>
                <w:rFonts w:ascii="Arial" w:hAnsi="Arial"/>
                <w:color w:val="444444"/>
                <w:sz w:val="19"/>
              </w:rPr>
              <w:t>启动 Holland RIASEC 12 题补充模块设计</w:t>
            </w:r>
          </w:p>
        </w:tc>
        <w:tc>
          <w:tcPr>
            <w:tcW w:type="dxa" w:w="1020"/>
            <w:vAlign w:val="center"/>
          </w:tcPr>
          <w:p>
            <w:r>
              <w:rPr>
                <w:rFonts w:ascii="Arial" w:hAnsi="Arial"/>
                <w:color w:val="444444"/>
                <w:sz w:val="19"/>
              </w:rPr>
              <w:t>产品</w:t>
            </w:r>
          </w:p>
        </w:tc>
        <w:tc>
          <w:tcPr>
            <w:tcW w:type="dxa" w:w="1134"/>
            <w:vAlign w:val="center"/>
          </w:tcPr>
          <w:p>
            <w:r>
              <w:rPr>
                <w:rFonts w:ascii="Arial" w:hAnsi="Arial"/>
                <w:color w:val="444444"/>
                <w:sz w:val="19"/>
              </w:rPr>
              <w:t>1个月内</w:t>
            </w:r>
          </w:p>
        </w:tc>
        <w:tc>
          <w:tcPr>
            <w:tcW w:type="dxa" w:w="907"/>
            <w:vAlign w:val="center"/>
          </w:tcPr>
          <w:p>
            <w:r>
              <w:rPr>
                <w:rFonts w:ascii="Arial" w:hAnsi="Arial"/>
                <w:color w:val="444444"/>
                <w:sz w:val="19"/>
              </w:rPr>
              <w:t>🟡 P1</w:t>
            </w:r>
          </w:p>
        </w:tc>
      </w:tr>
      <w:tr>
        <w:tc>
          <w:tcPr>
            <w:tcW w:type="dxa" w:w="3969"/>
            <w:vAlign w:val="center"/>
          </w:tcPr>
          <w:p>
            <w:r>
              <w:rPr>
                <w:rFonts w:ascii="Arial" w:hAnsi="Arial"/>
                <w:color w:val="444444"/>
                <w:sz w:val="19"/>
              </w:rPr>
              <w:t>研究印度DPDP/新加坡PDPA/巴西LGPD合规要求</w:t>
            </w:r>
          </w:p>
        </w:tc>
        <w:tc>
          <w:tcPr>
            <w:tcW w:type="dxa" w:w="1020"/>
            <w:vAlign w:val="center"/>
          </w:tcPr>
          <w:p>
            <w:r>
              <w:rPr>
                <w:rFonts w:ascii="Arial" w:hAnsi="Arial"/>
                <w:color w:val="444444"/>
                <w:sz w:val="19"/>
              </w:rPr>
              <w:t>法务</w:t>
            </w:r>
          </w:p>
        </w:tc>
        <w:tc>
          <w:tcPr>
            <w:tcW w:type="dxa" w:w="1134"/>
            <w:vAlign w:val="center"/>
          </w:tcPr>
          <w:p>
            <w:r>
              <w:rPr>
                <w:rFonts w:ascii="Arial" w:hAnsi="Arial"/>
                <w:color w:val="444444"/>
                <w:sz w:val="19"/>
              </w:rPr>
              <w:t>1个月内</w:t>
            </w:r>
          </w:p>
        </w:tc>
        <w:tc>
          <w:tcPr>
            <w:tcW w:type="dxa" w:w="907"/>
            <w:vAlign w:val="center"/>
          </w:tcPr>
          <w:p>
            <w:r>
              <w:rPr>
                <w:rFonts w:ascii="Arial" w:hAnsi="Arial"/>
                <w:color w:val="444444"/>
                <w:sz w:val="19"/>
              </w:rPr>
              <w:t>🟡 P1</w:t>
            </w:r>
          </w:p>
        </w:tc>
      </w:tr>
      <w:tr>
        <w:tc>
          <w:tcPr>
            <w:tcW w:type="dxa" w:w="3969"/>
            <w:vAlign w:val="center"/>
          </w:tcPr>
          <w:p>
            <w:r>
              <w:rPr>
                <w:rFonts w:ascii="Arial" w:hAnsi="Arial"/>
                <w:color w:val="444444"/>
                <w:sz w:val="19"/>
              </w:rPr>
              <w:t>完成印度Hindi版题目本地化适配（开放性量表）</w:t>
            </w:r>
          </w:p>
        </w:tc>
        <w:tc>
          <w:tcPr>
            <w:tcW w:type="dxa" w:w="1020"/>
            <w:vAlign w:val="center"/>
          </w:tcPr>
          <w:p>
            <w:r>
              <w:rPr>
                <w:rFonts w:ascii="Arial" w:hAnsi="Arial"/>
                <w:color w:val="444444"/>
                <w:sz w:val="19"/>
              </w:rPr>
              <w:t>本地化</w:t>
            </w:r>
          </w:p>
        </w:tc>
        <w:tc>
          <w:tcPr>
            <w:tcW w:type="dxa" w:w="1134"/>
            <w:vAlign w:val="center"/>
          </w:tcPr>
          <w:p>
            <w:r>
              <w:rPr>
                <w:rFonts w:ascii="Arial" w:hAnsi="Arial"/>
                <w:color w:val="444444"/>
                <w:sz w:val="19"/>
              </w:rPr>
              <w:t>6周内</w:t>
            </w:r>
          </w:p>
        </w:tc>
        <w:tc>
          <w:tcPr>
            <w:tcW w:type="dxa" w:w="907"/>
            <w:vAlign w:val="center"/>
          </w:tcPr>
          <w:p>
            <w:r>
              <w:rPr>
                <w:rFonts w:ascii="Arial" w:hAnsi="Arial"/>
                <w:color w:val="444444"/>
                <w:sz w:val="19"/>
              </w:rPr>
              <w:t>🟡 P1</w:t>
            </w:r>
          </w:p>
        </w:tc>
      </w:tr>
      <w:tr>
        <w:tc>
          <w:tcPr>
            <w:tcW w:type="dxa" w:w="3969"/>
            <w:vAlign w:val="center"/>
          </w:tcPr>
          <w:p>
            <w:r>
              <w:rPr>
                <w:rFonts w:ascii="Arial" w:hAnsi="Arial"/>
                <w:color w:val="444444"/>
                <w:sz w:val="19"/>
              </w:rPr>
              <w:t>在目标市场完成不少于200人的题目验证测试</w:t>
            </w:r>
          </w:p>
        </w:tc>
        <w:tc>
          <w:tcPr>
            <w:tcW w:type="dxa" w:w="1020"/>
            <w:vAlign w:val="center"/>
          </w:tcPr>
          <w:p>
            <w:r>
              <w:rPr>
                <w:rFonts w:ascii="Arial" w:hAnsi="Arial"/>
                <w:color w:val="444444"/>
                <w:sz w:val="19"/>
              </w:rPr>
              <w:t>研究</w:t>
            </w:r>
          </w:p>
        </w:tc>
        <w:tc>
          <w:tcPr>
            <w:tcW w:type="dxa" w:w="1134"/>
            <w:vAlign w:val="center"/>
          </w:tcPr>
          <w:p>
            <w:r>
              <w:rPr>
                <w:rFonts w:ascii="Arial" w:hAnsi="Arial"/>
                <w:color w:val="444444"/>
                <w:sz w:val="19"/>
              </w:rPr>
              <w:t>6周内</w:t>
            </w:r>
          </w:p>
        </w:tc>
        <w:tc>
          <w:tcPr>
            <w:tcW w:type="dxa" w:w="907"/>
            <w:vAlign w:val="center"/>
          </w:tcPr>
          <w:p>
            <w:r>
              <w:rPr>
                <w:rFonts w:ascii="Arial" w:hAnsi="Arial"/>
                <w:color w:val="444444"/>
                <w:sz w:val="19"/>
              </w:rPr>
              <w:t>🟡 P1</w:t>
            </w:r>
          </w:p>
        </w:tc>
      </w:tr>
    </w:tbl>
    <w:p>
      <w:pPr>
        <w:spacing w:after="0" w:before="0"/>
      </w:pPr>
    </w:p>
    <w:p>
      <w:r>
        <w:br w:type="page"/>
      </w:r>
    </w:p>
    <w:p>
      <w:pPr>
        <w:pStyle w:val="Heading1"/>
        <w:jc w:val="left"/>
      </w:pPr>
      <w:r>
        <w:rPr>
          <w:rFonts w:ascii="Arial" w:hAnsi="Arial"/>
          <w:color w:val="1F497D"/>
          <w:sz w:val="32"/>
        </w:rPr>
        <w:t>附录：参考资料</w:t>
      </w:r>
    </w:p>
    <w:p>
      <w:pPr>
        <w:spacing w:after="60"/>
        <w:ind w:left="283"/>
      </w:pPr>
      <w:r>
        <w:rPr>
          <w:rFonts w:ascii="Arial" w:hAnsi="Arial"/>
          <w:b/>
          <w:color w:val="2E75B6"/>
          <w:sz w:val="19"/>
        </w:rPr>
        <w:t xml:space="preserve">1. </w:t>
      </w:r>
      <w:r>
        <w:rPr>
          <w:rFonts w:ascii="Arial" w:hAnsi="Arial"/>
          <w:color w:val="444444"/>
          <w:sz w:val="19"/>
        </w:rPr>
        <w:t>Schmidt, F. L., &amp; Hunter, J. E. (1998). The validity and utility of selection methods in personnel psychology. Psychological Bulletin, 124(2), 262-274.</w:t>
      </w:r>
    </w:p>
    <w:p>
      <w:pPr>
        <w:spacing w:after="60"/>
        <w:ind w:left="283"/>
      </w:pPr>
      <w:r>
        <w:rPr>
          <w:rFonts w:ascii="Arial" w:hAnsi="Arial"/>
          <w:b/>
          <w:color w:val="2E75B6"/>
          <w:sz w:val="19"/>
        </w:rPr>
        <w:t xml:space="preserve">2. </w:t>
      </w:r>
      <w:r>
        <w:rPr>
          <w:rFonts w:ascii="Arial" w:hAnsi="Arial"/>
          <w:color w:val="444444"/>
          <w:sz w:val="19"/>
        </w:rPr>
        <w:t>Schmitt, D. P., et al. (2007). The geographic distribution of Big Five personality traits. Journal of Cross-Cultural Psychology, 38(2), 173-212.</w:t>
      </w:r>
    </w:p>
    <w:p>
      <w:pPr>
        <w:spacing w:after="60"/>
        <w:ind w:left="283"/>
      </w:pPr>
      <w:r>
        <w:rPr>
          <w:rFonts w:ascii="Arial" w:hAnsi="Arial"/>
          <w:b/>
          <w:color w:val="2E75B6"/>
          <w:sz w:val="19"/>
        </w:rPr>
        <w:t xml:space="preserve">3. </w:t>
      </w:r>
      <w:r>
        <w:rPr>
          <w:rFonts w:ascii="Arial" w:hAnsi="Arial"/>
          <w:color w:val="444444"/>
          <w:sz w:val="19"/>
        </w:rPr>
        <w:t>IPIP Reliability and Validity. ipip.ori.org (International Personality Item Pool Official Site).</w:t>
      </w:r>
    </w:p>
    <w:p>
      <w:pPr>
        <w:spacing w:after="60"/>
        <w:ind w:left="283"/>
      </w:pPr>
      <w:r>
        <w:rPr>
          <w:rFonts w:ascii="Arial" w:hAnsi="Arial"/>
          <w:b/>
          <w:color w:val="2E75B6"/>
          <w:sz w:val="19"/>
        </w:rPr>
        <w:t xml:space="preserve">4. </w:t>
      </w:r>
      <w:r>
        <w:rPr>
          <w:rFonts w:ascii="Arial" w:hAnsi="Arial"/>
          <w:color w:val="444444"/>
          <w:sz w:val="19"/>
        </w:rPr>
        <w:t>Assessing the Big Five with bifactor computerized adaptive testing (MCAT-B). PubMed PMID 30160497, 2018.</w:t>
      </w:r>
    </w:p>
    <w:p>
      <w:pPr>
        <w:spacing w:after="60"/>
        <w:ind w:left="283"/>
      </w:pPr>
      <w:r>
        <w:rPr>
          <w:rFonts w:ascii="Arial" w:hAnsi="Arial"/>
          <w:b/>
          <w:color w:val="2E75B6"/>
          <w:sz w:val="19"/>
        </w:rPr>
        <w:t xml:space="preserve">5. </w:t>
      </w:r>
      <w:r>
        <w:rPr>
          <w:rFonts w:ascii="Arial" w:hAnsi="Arial"/>
          <w:color w:val="444444"/>
          <w:sz w:val="19"/>
        </w:rPr>
        <w:t>PersonaLLM: Investigating the Ability of LLMs to Express Personality Traits. NAACL 2024 Findings.</w:t>
      </w:r>
    </w:p>
    <w:p>
      <w:pPr>
        <w:spacing w:after="60"/>
        <w:ind w:left="283"/>
      </w:pPr>
      <w:r>
        <w:rPr>
          <w:rFonts w:ascii="Arial" w:hAnsi="Arial"/>
          <w:b/>
          <w:color w:val="2E75B6"/>
          <w:sz w:val="19"/>
        </w:rPr>
        <w:t xml:space="preserve">6. </w:t>
      </w:r>
      <w:r>
        <w:rPr>
          <w:rFonts w:ascii="Arial" w:hAnsi="Arial"/>
          <w:color w:val="444444"/>
          <w:sz w:val="19"/>
        </w:rPr>
        <w:t>A psychometric framework for evaluating and shaping personality traits in LLMs. Nature Machine Intelligence, 2025.</w:t>
      </w:r>
    </w:p>
    <w:p>
      <w:pPr>
        <w:spacing w:after="60"/>
        <w:ind w:left="283"/>
      </w:pPr>
      <w:r>
        <w:rPr>
          <w:rFonts w:ascii="Arial" w:hAnsi="Arial"/>
          <w:b/>
          <w:color w:val="2E75B6"/>
          <w:sz w:val="19"/>
        </w:rPr>
        <w:t xml:space="preserve">7. </w:t>
      </w:r>
      <w:r>
        <w:rPr>
          <w:rFonts w:ascii="Arial" w:hAnsi="Arial"/>
          <w:color w:val="444444"/>
          <w:sz w:val="19"/>
        </w:rPr>
        <w:t>The fundamentals of Indian personality: An investigation of the Big Five. PMC, 2023.</w:t>
      </w:r>
    </w:p>
    <w:p>
      <w:pPr>
        <w:spacing w:after="60"/>
        <w:ind w:left="283"/>
      </w:pPr>
      <w:r>
        <w:rPr>
          <w:rFonts w:ascii="Arial" w:hAnsi="Arial"/>
          <w:b/>
          <w:color w:val="2E75B6"/>
          <w:sz w:val="19"/>
        </w:rPr>
        <w:t xml:space="preserve">8. </w:t>
      </w:r>
      <w:r>
        <w:rPr>
          <w:rFonts w:ascii="Arial" w:hAnsi="Arial"/>
          <w:color w:val="444444"/>
          <w:sz w:val="19"/>
        </w:rPr>
        <w:t>Cross-cultural examination of the Big Five Personality Trait. PMC, 2024.</w:t>
      </w:r>
    </w:p>
    <w:p>
      <w:pPr>
        <w:spacing w:after="60"/>
        <w:ind w:left="283"/>
      </w:pPr>
      <w:r>
        <w:rPr>
          <w:rFonts w:ascii="Arial" w:hAnsi="Arial"/>
          <w:b/>
          <w:color w:val="2E75B6"/>
          <w:sz w:val="19"/>
        </w:rPr>
        <w:t xml:space="preserve">9. </w:t>
      </w:r>
      <w:r>
        <w:rPr>
          <w:rFonts w:ascii="Arial" w:hAnsi="Arial"/>
          <w:color w:val="444444"/>
          <w:sz w:val="19"/>
        </w:rPr>
        <w:t>Personality Assessment Solutions Market. Mordor Intelligence, 2024.</w:t>
      </w:r>
    </w:p>
    <w:p>
      <w:pPr>
        <w:spacing w:after="60"/>
        <w:ind w:left="283"/>
      </w:pPr>
      <w:r>
        <w:rPr>
          <w:rFonts w:ascii="Arial" w:hAnsi="Arial"/>
          <w:b/>
          <w:color w:val="2E75B6"/>
          <w:sz w:val="19"/>
        </w:rPr>
        <w:t xml:space="preserve">10. </w:t>
      </w:r>
      <w:r>
        <w:rPr>
          <w:rFonts w:ascii="Arial" w:hAnsi="Arial"/>
          <w:color w:val="444444"/>
          <w:sz w:val="19"/>
        </w:rPr>
        <w:t>Online Career Test Market 2023-2032. DataIntelo, 2024.</w:t>
      </w:r>
    </w:p>
    <w:p>
      <w:pPr>
        <w:spacing w:after="60"/>
        <w:ind w:left="283"/>
      </w:pPr>
      <w:r>
        <w:rPr>
          <w:rFonts w:ascii="Arial" w:hAnsi="Arial"/>
          <w:b/>
          <w:color w:val="2E75B6"/>
          <w:sz w:val="19"/>
        </w:rPr>
        <w:t xml:space="preserve">11. </w:t>
      </w:r>
      <w:r>
        <w:rPr>
          <w:rFonts w:ascii="Arial" w:hAnsi="Arial"/>
          <w:color w:val="444444"/>
          <w:sz w:val="19"/>
        </w:rPr>
        <w:t>16Personalities Marketing Strategy Analysis. Inpages.ai, 2024.</w:t>
      </w:r>
    </w:p>
    <w:p>
      <w:pPr>
        <w:spacing w:after="60"/>
        <w:ind w:left="283"/>
      </w:pPr>
      <w:r>
        <w:rPr>
          <w:rFonts w:ascii="Arial" w:hAnsi="Arial"/>
          <w:b/>
          <w:color w:val="2E75B6"/>
          <w:sz w:val="19"/>
        </w:rPr>
        <w:t xml:space="preserve">12. </w:t>
      </w:r>
      <w:r>
        <w:rPr>
          <w:rFonts w:ascii="Arial" w:hAnsi="Arial"/>
          <w:color w:val="444444"/>
          <w:sz w:val="19"/>
        </w:rPr>
        <w:t>Large language models can infer psychological dispositions. PMC, 2024.</w:t>
      </w:r>
    </w:p>
    <w:p>
      <w:pPr>
        <w:spacing w:after="60"/>
        <w:ind w:left="283"/>
      </w:pPr>
      <w:r>
        <w:rPr>
          <w:rFonts w:ascii="Arial" w:hAnsi="Arial"/>
          <w:b/>
          <w:color w:val="2E75B6"/>
          <w:sz w:val="19"/>
        </w:rPr>
        <w:t xml:space="preserve">13. </w:t>
      </w:r>
      <w:r>
        <w:rPr>
          <w:rFonts w:ascii="Arial" w:hAnsi="Arial"/>
          <w:color w:val="444444"/>
          <w:sz w:val="19"/>
        </w:rPr>
        <w:t>AI methods for personality traits recognition: A systematic review. ScienceDirect, 2025.</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