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00"/>
      </w:pPr>
      <w:r>
        <w:t xml:space="preserve"/>
      </w:r>
    </w:p>
    <w:p>
      <w:pPr>
        <w:pBdr>
          <w:left w:val="single" w:color="E94560" w:sz="36" w:space="8"/>
        </w:pBdr>
        <w:spacing w:after="0" w:before="0"/>
        <w:ind w:left="200"/>
      </w:pPr>
      <w:r>
        <w:rPr>
          <w:rFonts w:ascii="Inter" w:cs="Inter" w:eastAsia="Inter" w:hAnsi="Inter"/>
          <w:b/>
          <w:bCs/>
          <w:color w:val="E94560"/>
          <w:sz w:val="18"/>
          <w:szCs w:val="18"/>
        </w:rPr>
        <w:t xml:space="preserve">COST MODEL &amp; BUDGET</w:t>
      </w:r>
    </w:p>
    <w:p>
      <w:pPr>
        <w:pBdr>
          <w:left w:val="single" w:color="E94560" w:sz="36" w:space="8"/>
        </w:pBdr>
        <w:spacing w:after="0" w:before="0"/>
        <w:ind w:left="200"/>
      </w:pPr>
      <w:r>
        <w:rPr>
          <w:rFonts w:ascii="Inter" w:cs="Inter" w:eastAsia="Inter" w:hAnsi="Inter"/>
          <w:b/>
          <w:bCs/>
          <w:color w:val="1A1A2E"/>
          <w:sz w:val="46"/>
          <w:szCs w:val="46"/>
        </w:rPr>
        <w:t xml:space="preserve">What It Costs to Build &amp; Run</w:t>
      </w:r>
    </w:p>
    <w:p>
      <w:pPr>
        <w:pBdr>
          <w:left w:val="single" w:color="E94560" w:sz="36" w:space="8"/>
        </w:pBdr>
        <w:spacing w:after="200" w:before="0"/>
        <w:ind w:left="200"/>
      </w:pPr>
      <w:r>
        <w:rPr>
          <w:rFonts w:ascii="Inter" w:cs="Inter" w:eastAsia="Inter" w:hAnsi="Inter"/>
          <w:b/>
          <w:bCs/>
          <w:color w:val="0F3460"/>
          <w:sz w:val="26"/>
          <w:szCs w:val="26"/>
        </w:rPr>
        <w:t xml:space="preserve">MARKOS AI — AI Costs, Hosting, Build &amp; Run-Rate (Bahrain Market)</w:t>
      </w:r>
    </w:p>
    <w:p>
      <w:pPr>
        <w:spacing w:after="60" w:before="80"/>
      </w:pPr>
      <w:r>
        <w:t xml:space="preserve"/>
      </w:r>
    </w:p>
    <w:p>
      <w:pPr>
        <w:spacing w:after="60" w:before="0"/>
      </w:pPr>
      <w:r>
        <w:rPr>
          <w:rFonts w:ascii="Inter" w:cs="Inter" w:eastAsia="Inter" w:hAnsi="Inter"/>
          <w:i/>
          <w:iCs/>
          <w:color w:val="5A6072"/>
          <w:sz w:val="22"/>
          <w:szCs w:val="22"/>
        </w:rPr>
        <w:t xml:space="preserve">Every number below is built from current (June 2026) published API and AWS pricing, with the assumptions and arithmetic shown so you can adjust any input and re-derive the total.</w:t>
      </w:r>
    </w:p>
    <w:p>
      <w:pPr>
        <w:spacing w:after="60" w:before="60"/>
      </w:pPr>
      <w:r>
        <w:t xml:space="preserve"/>
      </w:r>
    </w:p>
    <w:p>
      <w:pPr>
        <w:pBdr>
          <w:bottom w:val="single" w:color="E94560" w:sz="8" w:space="1"/>
        </w:pBdr>
        <w:spacing w:after="120" w:before="0"/>
      </w:pP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The four cost buckets</w:t>
            </w:r>
          </w:p>
        </w:tc>
        <w:tc>
          <w:tcPr>
            <w:tcW w:type="dxa" w:w="4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What drives it</w:t>
            </w:r>
          </w:p>
        </w:tc>
      </w:tr>
      <w:tr>
        <w:tc>
          <w:tcPr>
            <w:tcW w:type="dxa" w:w="4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1 · AI / Agents (variable)</w:t>
            </w:r>
          </w:p>
        </w:tc>
        <w:tc>
          <w:tcPr>
            <w:tcW w:type="dxa" w:w="4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LLM tokens + image generation — scales with active users &amp; their plan limits</w:t>
            </w:r>
          </w:p>
        </w:tc>
      </w:tr>
      <w:tr>
        <w:tc>
          <w:tcPr>
            <w:tcW w:type="dxa" w:w="4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2 · Hosting &amp; Infrastructure</w:t>
            </w:r>
          </w:p>
        </w:tc>
        <w:tc>
          <w:tcPr>
            <w:tcW w:type="dxa" w:w="4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AWS + third-party services — a base floor that grows in steps with scale</w:t>
            </w:r>
          </w:p>
        </w:tc>
      </w:tr>
      <w:tr>
        <w:tc>
          <w:tcPr>
            <w:tcW w:type="dxa" w:w="4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3 · Build (solo + Codex)</w:t>
            </w:r>
          </w:p>
        </w:tc>
        <w:tc>
          <w:tcPr>
            <w:tcW w:type="dxa" w:w="4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Your AI coding subscription + dev cloud + tools — no salaries</w:t>
            </w:r>
          </w:p>
        </w:tc>
      </w:tr>
      <w:tr>
        <w:tc>
          <w:tcPr>
            <w:tcW w:type="dxa" w:w="4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4 · Fixed SaaS / Tooling</w:t>
            </w:r>
          </w:p>
        </w:tc>
        <w:tc>
          <w:tcPr>
            <w:tcW w:type="dxa" w:w="4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Monitoring, email, payments %, domains, security</w:t>
            </w:r>
          </w:p>
        </w:tc>
      </w:tr>
    </w:tbl>
    <w:p>
      <w:pPr>
        <w:spacing w:after="100" w:before="140"/>
      </w:pPr>
      <w:r>
        <w:t xml:space="preserve"/>
      </w:r>
    </w:p>
    <w:p>
      <w:pPr>
        <w:pBdr>
          <w:bottom w:val="single" w:color="E94560" w:sz="8" w:space="1"/>
        </w:pBdr>
        <w:spacing w:after="120" w:before="0"/>
      </w:pPr>
    </w:p>
    <w:p>
      <w:pPr>
        <w:spacing w:after="40" w:before="60"/>
      </w:pPr>
      <w:r>
        <w:t xml:space="preserve"/>
      </w:r>
    </w:p>
    <w:p>
      <w:pPr>
        <w:spacing w:after="36" w:before="0"/>
      </w:pPr>
      <w:r>
        <w:rPr>
          <w:rFonts w:ascii="Inter" w:cs="Inter" w:eastAsia="Inter" w:hAnsi="Inter"/>
          <w:i/>
          <w:iCs/>
          <w:color w:val="5A6072"/>
          <w:sz w:val="18"/>
          <w:szCs w:val="18"/>
        </w:rPr>
        <w:t xml:space="preserve">Prepared for</w:t>
      </w:r>
    </w:p>
    <w:p>
      <w:pPr>
        <w:spacing w:after="36" w:before="0"/>
      </w:pPr>
      <w:r>
        <w:rPr>
          <w:rFonts w:ascii="Inter" w:cs="Inter" w:eastAsia="Inter" w:hAnsi="Inter"/>
          <w:b/>
          <w:bCs/>
          <w:color w:val="1A1A2E"/>
          <w:sz w:val="22"/>
          <w:szCs w:val="22"/>
        </w:rPr>
        <w:t xml:space="preserve">MARKOS AI — Founders &amp; Finance</w:t>
      </w:r>
    </w:p>
    <w:p>
      <w:pPr>
        <w:spacing w:after="0" w:before="0"/>
      </w:pPr>
      <w:r>
        <w:rPr>
          <w:rFonts w:ascii="Inter" w:cs="Inter" w:eastAsia="Inter" w:hAnsi="Inter"/>
          <w:color w:val="5A6072"/>
          <w:sz w:val="18"/>
          <w:szCs w:val="18"/>
        </w:rPr>
        <w:t xml:space="preserve">Version 1.0  ·  Confidential  ·  Pricing current as of June 2026</w:t>
      </w:r>
    </w:p>
    <w:p>
      <w:r>
        <w:br w:type="page"/>
      </w:r>
    </w:p>
    <w:p>
      <w:pPr>
        <w:pStyle w:val="Heading1"/>
        <w:spacing w:after="120" w:before="0"/>
      </w:pPr>
      <w:r>
        <w:rPr>
          <w:rFonts w:ascii="Inter" w:cs="Inter" w:eastAsia="Inter" w:hAnsi="Inter"/>
          <w:b/>
          <w:bCs/>
          <w:color w:val="1A1A2E"/>
          <w:sz w:val="30"/>
          <w:szCs w:val="30"/>
        </w:rPr>
        <w:t xml:space="preserve">Contents</w:t>
      </w:r>
    </w:p>
    <w:p>
      <w:pPr>
        <w:pBdr>
          <w:bottom w:val="single" w:color="E94560" w:sz="8" w:space="1"/>
        </w:pBdr>
        <w:spacing w:after="120" w:before="0"/>
      </w:pP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Inter" w:cs="Inter" w:eastAsia="Inter" w:hAnsi="Inter"/>
          <w:b/>
          <w:bCs/>
          <w:color w:val="1A1A2E"/>
          <w:sz w:val="30"/>
          <w:szCs w:val="30"/>
        </w:rPr>
        <w:t xml:space="preserve">1. How to Read These Numbers</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You asked for exact costs. The honest answer is that two of the four buckets can be priced almost exactly today, and two are genuinely usage-dependent and can only be modeled with assumptions. This document does both: it gives you firm figures where firm figures exist, and transparent models (with the inputs exposed) where they don't, so you can change an assumption and watch the total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Bucket</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Certainty</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Why</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Build (solo + Codex)</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22C55E"/>
                <w:sz w:val="18"/>
                <w:szCs w:val="18"/>
              </w:rPr>
              <w:t xml:space="preserve">High</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Just your tool subscriptions + dev cloud — no salaries to estimate</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Fixed SaaS / tooling</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22C55E"/>
                <w:sz w:val="18"/>
                <w:szCs w:val="18"/>
              </w:rPr>
              <w:t xml:space="preserve">High</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Published per-seat / flat prices</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Hosting &amp; infra</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F59E0B"/>
                <w:sz w:val="18"/>
                <w:szCs w:val="18"/>
              </w:rPr>
              <w:t xml:space="preserve">Medium</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Published unit prices, but quantity scales with load</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 agents</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F59E0B"/>
                <w:sz w:val="18"/>
                <w:szCs w:val="18"/>
              </w:rPr>
              <w:t xml:space="preserve">Modeled</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Depends on how many users generate how much — the single biggest variable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0"/>
              <w:left w:val="single" w:color="E94560" w:sz="22"/>
              <w:bottom w:val="single" w:color="E94560" w:sz="10"/>
              <w:right w:val="single" w:color="E94560" w:sz="1"/>
            </w:tcBorders>
            <w:shd w:fill="FCE7EC"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The one number that matters most: AI cost per active user</w:t>
            </w:r>
          </w:p>
          <w:p>
            <w:pPr>
              <w:spacing w:after="30" w:before="30"/>
              <w:jc w:val="both"/>
            </w:pPr>
            <w:r>
              <w:rPr>
                <w:rFonts w:ascii="Inter" w:cs="Inter" w:eastAsia="Inter" w:hAnsi="Inter"/>
                <w:color w:val="1A1A2E"/>
                <w:sz w:val="19"/>
                <w:szCs w:val="19"/>
              </w:rPr>
              <w:t xml:space="preserve">For an AI product, the make-or-break figure is how much the AI costs you per paying user per month versus what you charge them. Section 3 derives this precisely from your own plan limits. The headline: at sensible model choices and with prompt caching, a heavy Premium user costs single-digit dollars in AI while paying $199 — the unit economics work. The risk is not the average user; it is uncapped usage and premium-model defaults. That is why the build spec meters every token and enforces plan limits.</w:t>
            </w:r>
          </w:p>
        </w:tc>
      </w:tr>
    </w:tbl>
    <w:p>
      <w:pPr>
        <w:pStyle w:val="Heading2"/>
        <w:spacing w:after="90" w:before="240"/>
      </w:pPr>
      <w:r>
        <w:rPr>
          <w:rFonts w:ascii="Inter" w:cs="Inter" w:eastAsia="Inter" w:hAnsi="Inter"/>
          <w:b/>
          <w:bCs/>
          <w:color w:val="0F3460"/>
          <w:sz w:val="25"/>
          <w:szCs w:val="25"/>
        </w:rPr>
        <w:t xml:space="preserve">1.2 Pricing sources (all June 2026)</w:t>
      </w:r>
    </w:p>
    <w:p>
      <w:pPr>
        <w:pStyle w:val="ListParagraph"/>
        <w:numPr>
          <w:ilvl w:val="0"/>
          <w:numId w:val="2"/>
        </w:numPr>
        <w:spacing w:after="30" w:before="30"/>
      </w:pPr>
      <w:r>
        <w:rPr>
          <w:rFonts w:ascii="Inter" w:cs="Inter" w:eastAsia="Inter" w:hAnsi="Inter"/>
          <w:b w:val="false"/>
          <w:bCs w:val="false"/>
          <w:color w:val="1A1A2E"/>
          <w:sz w:val="20"/>
          <w:szCs w:val="20"/>
        </w:rPr>
        <w:t xml:space="preserve">LLM token rates: OpenAI and Anthropic public API pricing pages.</w:t>
      </w:r>
    </w:p>
    <w:p>
      <w:pPr>
        <w:pStyle w:val="ListParagraph"/>
        <w:numPr>
          <w:ilvl w:val="0"/>
          <w:numId w:val="2"/>
        </w:numPr>
        <w:spacing w:after="30" w:before="30"/>
      </w:pPr>
      <w:r>
        <w:rPr>
          <w:rFonts w:ascii="Inter" w:cs="Inter" w:eastAsia="Inter" w:hAnsi="Inter"/>
          <w:b w:val="false"/>
          <w:bCs w:val="false"/>
          <w:color w:val="1A1A2E"/>
          <w:sz w:val="20"/>
          <w:szCs w:val="20"/>
        </w:rPr>
        <w:t xml:space="preserve">Image generation: OpenAI image API + Replicate SDXL published rates.</w:t>
      </w:r>
    </w:p>
    <w:p>
      <w:pPr>
        <w:pStyle w:val="ListParagraph"/>
        <w:numPr>
          <w:ilvl w:val="0"/>
          <w:numId w:val="2"/>
        </w:numPr>
        <w:spacing w:after="30" w:before="30"/>
      </w:pPr>
      <w:r>
        <w:rPr>
          <w:rFonts w:ascii="Inter" w:cs="Inter" w:eastAsia="Inter" w:hAnsi="Inter"/>
          <w:b w:val="false"/>
          <w:bCs w:val="false"/>
          <w:color w:val="1A1A2E"/>
          <w:sz w:val="20"/>
          <w:szCs w:val="20"/>
        </w:rPr>
        <w:t xml:space="preserve">Infrastructure: AWS public pricing (RDS, Fargate, ElastiCache, S3, CloudFront, SQS, SES).</w:t>
      </w:r>
    </w:p>
    <w:p>
      <w:pPr>
        <w:pStyle w:val="ListParagraph"/>
        <w:numPr>
          <w:ilvl w:val="0"/>
          <w:numId w:val="2"/>
        </w:numPr>
        <w:spacing w:after="30" w:before="30"/>
      </w:pPr>
      <w:r>
        <w:rPr>
          <w:rFonts w:ascii="Inter" w:cs="Inter" w:eastAsia="Inter" w:hAnsi="Inter"/>
          <w:b w:val="false"/>
          <w:bCs w:val="false"/>
          <w:color w:val="1A1A2E"/>
          <w:sz w:val="20"/>
          <w:szCs w:val="20"/>
        </w:rPr>
        <w:t xml:space="preserve">Payments: Stripe standard 2.9% + $0.30; SendGrid, Sentry, Datadog public tiers.</w:t>
      </w:r>
    </w:p>
    <w:p>
      <w:pPr>
        <w:pStyle w:val="ListParagraph"/>
        <w:numPr>
          <w:ilvl w:val="0"/>
          <w:numId w:val="2"/>
        </w:numPr>
        <w:spacing w:after="30" w:before="30"/>
      </w:pPr>
      <w:r>
        <w:rPr>
          <w:rFonts w:ascii="Inter" w:cs="Inter" w:eastAsia="Inter" w:hAnsi="Inter"/>
          <w:b w:val="false"/>
          <w:bCs w:val="false"/>
          <w:color w:val="1A1A2E"/>
          <w:sz w:val="20"/>
          <w:szCs w:val="20"/>
        </w:rPr>
        <w:t xml:space="preserve">Build cost: blended market salary ranges; adjust to your team's actual rates and location.</w:t>
      </w:r>
    </w:p>
    <w:p>
      <w:r>
        <w:br w:type="page"/>
      </w:r>
    </w:p>
    <w:p>
      <w:pPr>
        <w:pStyle w:val="Heading1"/>
        <w:spacing w:after="140" w:before="360"/>
      </w:pPr>
      <w:r>
        <w:rPr>
          <w:rFonts w:ascii="Inter" w:cs="Inter" w:eastAsia="Inter" w:hAnsi="Inter"/>
          <w:b/>
          <w:bCs/>
          <w:color w:val="1A1A2E"/>
          <w:sz w:val="30"/>
          <w:szCs w:val="30"/>
        </w:rPr>
        <w:t xml:space="preserve">2. The Unit Prices (June 2026)</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Everything downstream is built from these published rates. Prices are USD. LLM rates are per 1 million tokens (M), input / output.</w:t>
      </w:r>
    </w:p>
    <w:p>
      <w:pPr>
        <w:pStyle w:val="Heading2"/>
        <w:spacing w:after="90" w:before="240"/>
      </w:pPr>
      <w:r>
        <w:rPr>
          <w:rFonts w:ascii="Inter" w:cs="Inter" w:eastAsia="Inter" w:hAnsi="Inter"/>
          <w:b/>
          <w:bCs/>
          <w:color w:val="0F3460"/>
          <w:sz w:val="25"/>
          <w:szCs w:val="25"/>
        </w:rPr>
        <w:t xml:space="preserve">2.1 AI model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Model</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Input /M</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Output /M</w:t>
            </w:r>
          </w:p>
        </w:tc>
        <w:tc>
          <w:tcPr>
            <w:tcW w:type="dxa" w:w="1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Role in MARKOS</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GPT-5.4 (workhorse)</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$2.50</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$15.00</w:t>
            </w:r>
          </w:p>
        </w:tc>
        <w:tc>
          <w:tcPr>
            <w:tcW w:type="dxa" w:w="1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Default for captions, hashtags, planning</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GPT-5.5 (flagship)</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$5.00</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$30.00</w:t>
            </w:r>
          </w:p>
        </w:tc>
        <w:tc>
          <w:tcPr>
            <w:tcW w:type="dxa" w:w="1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Reserve for hardest strategy tasks</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Claude Sonnet 4.6</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$3.00</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$15.00</w:t>
            </w:r>
          </w:p>
        </w:tc>
        <w:tc>
          <w:tcPr>
            <w:tcW w:type="dxa" w:w="1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Balanced long-form / nuanced copy</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Claude Opus 4.8</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$5.00</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$25.00</w:t>
            </w:r>
          </w:p>
        </w:tc>
        <w:tc>
          <w:tcPr>
            <w:tcW w:type="dxa" w:w="1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Premium long-form strategy docs</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Claude Haiku 4.5</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$1.00</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$5.00</w:t>
            </w:r>
          </w:p>
        </w:tc>
        <w:tc>
          <w:tcPr>
            <w:tcW w:type="dxa" w:w="1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Cheap classification / routing</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Embeddings (small)</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~$0.02</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w:t>
            </w:r>
          </w:p>
        </w:tc>
        <w:tc>
          <w:tcPr>
            <w:tcW w:type="dxa" w:w="1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Knowledge Vault vectorization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2"/>
              <w:bottom w:val="single" w:color="0F3460" w:sz="10"/>
              <w:right w:val="single" w:color="0F3460" w:sz="1"/>
            </w:tcBorders>
            <w:shd w:fill="EEF2F7"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Two levers that cut AI cost 50–90%</w:t>
            </w:r>
          </w:p>
          <w:p>
            <w:pPr>
              <w:spacing w:after="30" w:before="30"/>
              <w:jc w:val="both"/>
            </w:pPr>
            <w:r>
              <w:rPr>
                <w:rFonts w:ascii="Inter" w:cs="Inter" w:eastAsia="Inter" w:hAnsi="Inter"/>
                <w:color w:val="1A1A2E"/>
                <w:sz w:val="19"/>
                <w:szCs w:val="19"/>
              </w:rPr>
              <w:t xml:space="preserve">Prompt caching: the 8-part system prompt and retrieved Vault context repeat across calls for the same workspace. Cached input is ~90% cheaper on both OpenAI and Anthropic — and MARKOS re-sends largely the same business context every time, so this is a huge, real saving, not a theoretical one. Batch processing: non-urgent jobs (monthly reports, bulk planning, re-embedding) run at 50% off via the Batch API. The cost model below uses the standard (uncached) rate to stay conservative; your real bill should land meaningfully lower.</w:t>
            </w:r>
          </w:p>
        </w:tc>
      </w:tr>
    </w:tbl>
    <w:p>
      <w:pPr>
        <w:pStyle w:val="Heading2"/>
        <w:spacing w:after="90" w:before="240"/>
      </w:pPr>
      <w:r>
        <w:rPr>
          <w:rFonts w:ascii="Inter" w:cs="Inter" w:eastAsia="Inter" w:hAnsi="Inter"/>
          <w:b/>
          <w:bCs/>
          <w:color w:val="0F3460"/>
          <w:sz w:val="25"/>
          <w:szCs w:val="25"/>
        </w:rPr>
        <w:t xml:space="preserve">2.2 Image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Item</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Rate</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Notes</w:t>
            </w:r>
          </w:p>
        </w:tc>
      </w:tr>
      <w:tr>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image (primary model)</w:t>
            </w:r>
          </w:p>
        </w:tc>
        <w:tc>
          <w:tcPr>
            <w:tcW w:type="dxa" w:w="234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~$0.04–$0.08 / image</w:t>
            </w:r>
          </w:p>
        </w:tc>
        <w:tc>
          <w:tcPr>
            <w:tcW w:type="dxa" w:w="234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Standard quality, square; counts to plan limit</w:t>
            </w:r>
          </w:p>
        </w:tc>
      </w:tr>
      <w:tr>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image (Replicate SDXL fallback)</w:t>
            </w:r>
          </w:p>
        </w:tc>
        <w:tc>
          <w:tcPr>
            <w:tcW w:type="dxa" w:w="234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~$0.003–$0.01 / image</w:t>
            </w:r>
          </w:p>
        </w:tc>
        <w:tc>
          <w:tcPr>
            <w:tcW w:type="dxa" w:w="234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Used only on primary outage / cost control</w:t>
            </w:r>
          </w:p>
        </w:tc>
      </w:tr>
    </w:tbl>
    <w:p>
      <w:pPr>
        <w:spacing w:after="60" w:before="60"/>
        <w:jc w:val="both"/>
      </w:pPr>
      <w:r>
        <w:rPr>
          <w:rFonts w:ascii="Inter" w:cs="Inter" w:eastAsia="Inter" w:hAnsi="Inter"/>
          <w:color w:val="1A1A2E"/>
          <w:sz w:val="20"/>
          <w:szCs w:val="20"/>
        </w:rPr>
        <w:t xml:space="preserve">The model uses $0.06 per image as a blended planning figure.</w:t>
      </w:r>
    </w:p>
    <w:p>
      <w:pPr>
        <w:pStyle w:val="Heading2"/>
        <w:spacing w:after="90" w:before="240"/>
      </w:pPr>
      <w:r>
        <w:rPr>
          <w:rFonts w:ascii="Inter" w:cs="Inter" w:eastAsia="Inter" w:hAnsi="Inter"/>
          <w:b/>
          <w:bCs/>
          <w:color w:val="0F3460"/>
          <w:sz w:val="25"/>
          <w:szCs w:val="25"/>
        </w:rPr>
        <w:t xml:space="preserve">2.3 Infrastructure unit prices (AWS, us-east-class)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Resource</w:t>
            </w:r>
          </w:p>
        </w:tc>
        <w:tc>
          <w:tcPr>
            <w:tcW w:type="dxa" w:w="28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Unit price</w:t>
            </w:r>
          </w:p>
        </w:tc>
        <w:tc>
          <w:tcPr>
            <w:tcW w:type="dxa" w:w="28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Note</w:t>
            </w:r>
          </w:p>
        </w:tc>
      </w:tr>
      <w:tr>
        <w:tc>
          <w:tcPr>
            <w:tcW w:type="dxa" w:w="3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RDS PostgreSQL db.m5.large</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~$0.18/hr single-AZ</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Multi-AZ ≈ doubles compute + storage</w:t>
            </w:r>
          </w:p>
        </w:tc>
      </w:tr>
      <w:tr>
        <w:tc>
          <w:tcPr>
            <w:tcW w:type="dxa" w:w="3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RDS storage (gp3 SSD)</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~$0.115 / GB-month</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Plus backups</w:t>
            </w:r>
          </w:p>
        </w:tc>
      </w:tr>
      <w:tr>
        <w:tc>
          <w:tcPr>
            <w:tcW w:type="dxa" w:w="3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ECS Fargate</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~$0.04/vCPU-hr + ~$0.004/GB-hr</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Pay for running container size</w:t>
            </w:r>
          </w:p>
        </w:tc>
      </w:tr>
      <w:tr>
        <w:tc>
          <w:tcPr>
            <w:tcW w:type="dxa" w:w="3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ElastiCache Redis (cache.m5.large)</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~$0.16/hr</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Sessions, queues, cache</w:t>
            </w:r>
          </w:p>
        </w:tc>
      </w:tr>
      <w:tr>
        <w:tc>
          <w:tcPr>
            <w:tcW w:type="dxa" w:w="3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S3 standard storage</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~$0.023 / GB-month</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User media + generated images</w:t>
            </w:r>
          </w:p>
        </w:tc>
      </w:tr>
      <w:tr>
        <w:tc>
          <w:tcPr>
            <w:tcW w:type="dxa" w:w="3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CloudFront egress</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~$0.085 / GB (first tier)</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Media + asset delivery</w:t>
            </w:r>
          </w:p>
        </w:tc>
      </w:tr>
      <w:tr>
        <w:tc>
          <w:tcPr>
            <w:tcW w:type="dxa" w:w="3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SQS</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$0.40 / million requests</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Job queue messages</w:t>
            </w:r>
          </w:p>
        </w:tc>
      </w:tr>
      <w:tr>
        <w:tc>
          <w:tcPr>
            <w:tcW w:type="dxa" w:w="3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SES email</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$0.10 / 1,000 emails</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Transactional</w:t>
            </w:r>
          </w:p>
        </w:tc>
      </w:tr>
    </w:tbl>
    <w:p>
      <w:pPr>
        <w:pStyle w:val="Heading2"/>
        <w:spacing w:after="90" w:before="240"/>
      </w:pPr>
      <w:r>
        <w:rPr>
          <w:rFonts w:ascii="Inter" w:cs="Inter" w:eastAsia="Inter" w:hAnsi="Inter"/>
          <w:b/>
          <w:bCs/>
          <w:color w:val="0F3460"/>
          <w:sz w:val="25"/>
          <w:szCs w:val="25"/>
        </w:rPr>
        <w:t xml:space="preserve">2.4 Other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Service</w:t>
            </w:r>
          </w:p>
        </w:tc>
        <w:tc>
          <w:tcPr>
            <w:tcW w:type="dxa" w:w="28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Price</w:t>
            </w:r>
          </w:p>
        </w:tc>
        <w:tc>
          <w:tcPr>
            <w:tcW w:type="dxa" w:w="28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Note</w:t>
            </w:r>
          </w:p>
        </w:tc>
      </w:tr>
      <w:tr>
        <w:tc>
          <w:tcPr>
            <w:tcW w:type="dxa" w:w="3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Payments (local Bahrain rails)</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~1.9%–$3.2% MDR</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CrediMax / BENEFIT — see §6; usually no fixed per-charge fee</w:t>
            </w:r>
          </w:p>
        </w:tc>
      </w:tr>
      <w:tr>
        <w:tc>
          <w:tcPr>
            <w:tcW w:type="dxa" w:w="3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Stripe (international fallback)</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2.9% + $0.30 / charge</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On non-Bahraini cards only</w:t>
            </w:r>
          </w:p>
        </w:tc>
      </w:tr>
      <w:tr>
        <w:tc>
          <w:tcPr>
            <w:tcW w:type="dxa" w:w="3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SendGrid</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~$20–$90 / mo</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Marketing + higher-volume transactional tiers</w:t>
            </w:r>
          </w:p>
        </w:tc>
      </w:tr>
      <w:tr>
        <w:tc>
          <w:tcPr>
            <w:tcW w:type="dxa" w:w="3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Sentry</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~$26–$80 / mo</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Error tracking, team tier</w:t>
            </w:r>
          </w:p>
        </w:tc>
      </w:tr>
      <w:tr>
        <w:tc>
          <w:tcPr>
            <w:tcW w:type="dxa" w:w="3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Datadog APM</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~$31 / host / mo</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Scales with hosts monitored</w:t>
            </w:r>
          </w:p>
        </w:tc>
      </w:tr>
      <w:tr>
        <w:tc>
          <w:tcPr>
            <w:tcW w:type="dxa" w:w="3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Meta Instagram Graph API</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w:t>
            </w:r>
          </w:p>
        </w:tc>
        <w:tc>
          <w:tcPr>
            <w:tcW w:type="dxa" w:w="28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Free; cost is engineering + App Review time</w:t>
            </w:r>
          </w:p>
        </w:tc>
      </w:tr>
      <w:tr>
        <w:tc>
          <w:tcPr>
            <w:tcW w:type="dxa" w:w="3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Domain + ACM SSL</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~$15/yr + $0</w:t>
            </w:r>
          </w:p>
        </w:tc>
        <w:tc>
          <w:tcPr>
            <w:tcW w:type="dxa" w:w="28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ACM certificates are free on AWS</w:t>
            </w:r>
          </w:p>
        </w:tc>
      </w:tr>
    </w:tbl>
    <w:p>
      <w:r>
        <w:br w:type="page"/>
      </w:r>
    </w:p>
    <w:p>
      <w:pPr>
        <w:pStyle w:val="Heading1"/>
        <w:spacing w:after="140" w:before="360"/>
      </w:pPr>
      <w:r>
        <w:rPr>
          <w:rFonts w:ascii="Inter" w:cs="Inter" w:eastAsia="Inter" w:hAnsi="Inter"/>
          <w:b/>
          <w:bCs/>
          <w:color w:val="1A1A2E"/>
          <w:sz w:val="30"/>
          <w:szCs w:val="30"/>
        </w:rPr>
        <w:t xml:space="preserve">3. AI / Agents Cost (the variable that matters)</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This is what you primarily asked about: what the eight agents actually cost to run. Because it scales with usage, it is modeled per user per month, derived directly from your own plan limits (PRD §12). The result is the AI cost-of-goods for each plan, and therefore your gross margin.</w:t>
      </w:r>
    </w:p>
    <w:p>
      <w:pPr>
        <w:pStyle w:val="Heading2"/>
        <w:spacing w:after="90" w:before="240"/>
      </w:pPr>
      <w:r>
        <w:rPr>
          <w:rFonts w:ascii="Inter" w:cs="Inter" w:eastAsia="Inter" w:hAnsi="Inter"/>
          <w:b/>
          <w:bCs/>
          <w:color w:val="0F3460"/>
          <w:sz w:val="25"/>
          <w:szCs w:val="25"/>
        </w:rPr>
        <w:t xml:space="preserve">3.1 Cost per AI action (the building blocks)</w:t>
      </w:r>
    </w:p>
    <w:p>
      <w:pPr>
        <w:spacing w:after="60" w:before="60"/>
        <w:jc w:val="both"/>
      </w:pPr>
      <w:r>
        <w:rPr>
          <w:rFonts w:ascii="Inter" w:cs="Inter" w:eastAsia="Inter" w:hAnsi="Inter"/>
          <w:color w:val="1A1A2E"/>
          <w:sz w:val="20"/>
          <w:szCs w:val="20"/>
        </w:rPr>
        <w:t xml:space="preserve">Each agent call sends the 8-part system prompt plus retrieved Knowledge Vault context (input) and receives generated copy (output). Token estimates per action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AI action</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Tokens (in / out)</w:t>
            </w:r>
          </w:p>
        </w:tc>
        <w:tc>
          <w:tcPr>
            <w:tcW w:type="dxa" w:w="3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Cost per call</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Content generation (caption/hashtags/CTA), GPT-5.4</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~2,500 / 800</w:t>
            </w:r>
          </w:p>
        </w:tc>
        <w:tc>
          <w:tcPr>
            <w:tcW w:type="dxa" w:w="3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$0.018 (uncached) → $0.013 cached</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Reel script, GPT-5.4</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~2,500 / 1,200</w:t>
            </w:r>
          </w:p>
        </w:tc>
        <w:tc>
          <w:tcPr>
            <w:tcW w:type="dxa" w:w="3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~$0.024</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Strategy doc (premium model)</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~4,000 / 6,000</w:t>
            </w:r>
          </w:p>
        </w:tc>
        <w:tc>
          <w:tcPr>
            <w:tcW w:type="dxa" w:w="3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~$0.17</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image (blended)</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w:t>
            </w:r>
          </w:p>
        </w:tc>
        <w:tc>
          <w:tcPr>
            <w:tcW w:type="dxa" w:w="37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$0.06</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Embedding (per onboarding/vault update)</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small</w:t>
            </w:r>
          </w:p>
        </w:tc>
        <w:tc>
          <w:tcPr>
            <w:tcW w:type="dxa" w:w="37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a few cents total, one-time-ish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2"/>
              <w:bottom w:val="single" w:color="0F3460" w:sz="10"/>
              <w:right w:val="single" w:color="0F3460" w:sz="1"/>
            </w:tcBorders>
            <w:shd w:fill="EEF2F7"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Why caching matters so much here</w:t>
            </w:r>
          </w:p>
          <w:p>
            <w:pPr>
              <w:spacing w:after="30" w:before="30"/>
              <w:jc w:val="both"/>
            </w:pPr>
            <w:r>
              <w:rPr>
                <w:rFonts w:ascii="Inter" w:cs="Inter" w:eastAsia="Inter" w:hAnsi="Inter"/>
                <w:color w:val="1A1A2E"/>
                <w:sz w:val="19"/>
                <w:szCs w:val="19"/>
              </w:rPr>
              <w:t xml:space="preserve">MARKOS re-sends largely the same business context (the Vault, brand, tone, objectives) on every single agent call for a given workspace. That repeated input is exactly what prompt caching discounts by ~90%. The figures below show both the conservative uncached cost and the realistic cached cost — your true bill tracks the cached column.</w:t>
            </w:r>
          </w:p>
        </w:tc>
      </w:tr>
    </w:tbl>
    <w:p>
      <w:pPr>
        <w:pStyle w:val="Heading2"/>
        <w:spacing w:after="90" w:before="240"/>
      </w:pPr>
      <w:r>
        <w:rPr>
          <w:rFonts w:ascii="Inter" w:cs="Inter" w:eastAsia="Inter" w:hAnsi="Inter"/>
          <w:b/>
          <w:bCs/>
          <w:color w:val="0F3460"/>
          <w:sz w:val="25"/>
          <w:szCs w:val="25"/>
        </w:rPr>
        <w:t xml:space="preserve">3.2 AI cost per user per month — worst case (user maxes every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1700"/>
        <w:gridCol w:w="1860"/>
      </w:tblGrid>
      <w:tr>
        <w:trPr>
          <w:tblHeader/>
        </w:trPr>
        <w:tc>
          <w:tcPr>
            <w:tcW w:type="dxa" w:w="2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Plan</w:t>
            </w:r>
          </w:p>
        </w:tc>
        <w:tc>
          <w:tcPr>
            <w:tcW w:type="dxa" w:w="1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Price</w:t>
            </w:r>
          </w:p>
        </w:tc>
        <w:tc>
          <w:tcPr>
            <w:tcW w:type="dxa" w:w="17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AI (uncached)</w:t>
            </w:r>
          </w:p>
        </w:tc>
        <w:tc>
          <w:tcPr>
            <w:tcW w:type="dxa" w:w="17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AI (cached)</w:t>
            </w:r>
          </w:p>
        </w:tc>
        <w:tc>
          <w:tcPr>
            <w:tcW w:type="dxa" w:w="18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Gross margin*</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Starter</w:t>
            </w:r>
          </w:p>
        </w:tc>
        <w:tc>
          <w:tcPr>
            <w:tcW w:type="dxa" w:w="15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$49</w:t>
            </w:r>
          </w:p>
        </w:tc>
        <w:tc>
          <w:tcPr>
            <w:tcW w:type="dxa" w:w="1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$3.20</w:t>
            </w:r>
          </w:p>
        </w:tc>
        <w:tc>
          <w:tcPr>
            <w:tcW w:type="dxa" w:w="1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$2.69</w:t>
            </w:r>
          </w:p>
        </w:tc>
        <w:tc>
          <w:tcPr>
            <w:tcW w:type="dxa" w:w="18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22C55E"/>
                <w:sz w:val="18"/>
                <w:szCs w:val="18"/>
              </w:rPr>
              <w:t xml:space="preserve">$46.31</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Growth</w:t>
            </w:r>
          </w:p>
        </w:tc>
        <w:tc>
          <w:tcPr>
            <w:tcW w:type="dxa" w:w="15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$99</w:t>
            </w:r>
          </w:p>
        </w:tc>
        <w:tc>
          <w:tcPr>
            <w:tcW w:type="dxa" w:w="17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$9.58</w:t>
            </w:r>
          </w:p>
        </w:tc>
        <w:tc>
          <w:tcPr>
            <w:tcW w:type="dxa" w:w="17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$8.07</w:t>
            </w:r>
          </w:p>
        </w:tc>
        <w:tc>
          <w:tcPr>
            <w:tcW w:type="dxa" w:w="18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22C55E"/>
                <w:sz w:val="18"/>
                <w:szCs w:val="18"/>
              </w:rPr>
              <w:t xml:space="preserve">$90.93</w:t>
            </w:r>
          </w:p>
        </w:tc>
      </w:tr>
      <w:tr>
        <w:tc>
          <w:tcPr>
            <w:tcW w:type="dxa" w:w="26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Premium</w:t>
            </w:r>
          </w:p>
        </w:tc>
        <w:tc>
          <w:tcPr>
            <w:tcW w:type="dxa" w:w="15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$199</w:t>
            </w:r>
          </w:p>
        </w:tc>
        <w:tc>
          <w:tcPr>
            <w:tcW w:type="dxa" w:w="1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$23.82</w:t>
            </w:r>
          </w:p>
        </w:tc>
        <w:tc>
          <w:tcPr>
            <w:tcW w:type="dxa" w:w="1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$20.27</w:t>
            </w:r>
          </w:p>
        </w:tc>
        <w:tc>
          <w:tcPr>
            <w:tcW w:type="dxa" w:w="18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22C55E"/>
                <w:sz w:val="18"/>
                <w:szCs w:val="18"/>
              </w:rPr>
              <w:t xml:space="preserve">$178.73</w:t>
            </w:r>
          </w:p>
        </w:tc>
      </w:tr>
      <w:tr>
        <w:tc>
          <w:tcPr>
            <w:tcW w:type="dxa" w:w="26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Enterprise</w:t>
            </w:r>
          </w:p>
        </w:tc>
        <w:tc>
          <w:tcPr>
            <w:tcW w:type="dxa" w:w="15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$499</w:t>
            </w:r>
          </w:p>
        </w:tc>
        <w:tc>
          <w:tcPr>
            <w:tcW w:type="dxa" w:w="17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$60.77</w:t>
            </w:r>
          </w:p>
        </w:tc>
        <w:tc>
          <w:tcPr>
            <w:tcW w:type="dxa" w:w="17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$53.18</w:t>
            </w:r>
          </w:p>
        </w:tc>
        <w:tc>
          <w:tcPr>
            <w:tcW w:type="dxa" w:w="18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22C55E"/>
                <w:sz w:val="18"/>
                <w:szCs w:val="18"/>
              </w:rPr>
              <w:t xml:space="preserve">$445.82</w:t>
            </w:r>
          </w:p>
        </w:tc>
      </w:tr>
    </w:tbl>
    <w:p>
      <w:pPr>
        <w:spacing w:after="60" w:before="40"/>
        <w:jc w:val="both"/>
      </w:pPr>
      <w:r>
        <w:rPr>
          <w:rFonts w:ascii="Inter" w:cs="Inter" w:eastAsia="Inter" w:hAnsi="Inter"/>
          <w:color w:val="1A1A2E"/>
          <w:sz w:val="20"/>
          <w:szCs w:val="20"/>
        </w:rPr>
        <w:t xml:space="preserve">*Margin = price minus cached AI cost, at full limit usage. Enterprise/Premium 'Unlimited' lines are modeled at a high but finite cap (1,500 generations, 20 strategies) — see the note on 'Unlimited' below.</w:t>
      </w:r>
    </w:p>
    <w:p>
      <w:pPr>
        <w:pStyle w:val="Heading2"/>
        <w:spacing w:after="90" w:before="240"/>
      </w:pPr>
      <w:r>
        <w:rPr>
          <w:rFonts w:ascii="Inter" w:cs="Inter" w:eastAsia="Inter" w:hAnsi="Inter"/>
          <w:b/>
          <w:bCs/>
          <w:color w:val="0F3460"/>
          <w:sz w:val="25"/>
          <w:szCs w:val="25"/>
        </w:rPr>
        <w:t xml:space="preserve">3.3 AI cost per user per month — typical (user uses ~40% of limits)</w:t>
      </w:r>
    </w:p>
    <w:p>
      <w:pPr>
        <w:spacing w:after="60" w:before="60"/>
        <w:jc w:val="both"/>
      </w:pPr>
      <w:r>
        <w:rPr>
          <w:rFonts w:ascii="Inter" w:cs="Inter" w:eastAsia="Inter" w:hAnsi="Inter"/>
          <w:color w:val="1A1A2E"/>
          <w:sz w:val="20"/>
          <w:szCs w:val="20"/>
        </w:rPr>
        <w:t xml:space="preserve">Most users never hit their ceiling. At a realistic 40% utilization plus one to two strategy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200"/>
        <w:gridCol w:w="2260"/>
      </w:tblGrid>
      <w:tr>
        <w:trPr>
          <w:tblHeader/>
        </w:trPr>
        <w:tc>
          <w:tcPr>
            <w:tcW w:type="dxa" w:w="2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Plan</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Price</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Typical AI cost</w:t>
            </w:r>
          </w:p>
        </w:tc>
        <w:tc>
          <w:tcPr>
            <w:tcW w:type="dxa" w:w="22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Typical margin</w:t>
            </w:r>
          </w:p>
        </w:tc>
      </w:tr>
      <w:tr>
        <w:tc>
          <w:tcPr>
            <w:tcW w:type="dxa" w:w="29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Starter</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$49</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$1.18</w:t>
            </w:r>
          </w:p>
        </w:tc>
        <w:tc>
          <w:tcPr>
            <w:tcW w:type="dxa" w:w="22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22C55E"/>
                <w:sz w:val="18"/>
                <w:szCs w:val="18"/>
              </w:rPr>
              <w:t xml:space="preserve">$47.82</w:t>
            </w:r>
          </w:p>
        </w:tc>
      </w:tr>
      <w:tr>
        <w:tc>
          <w:tcPr>
            <w:tcW w:type="dxa" w:w="29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Growth</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$99</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$3.36</w:t>
            </w:r>
          </w:p>
        </w:tc>
        <w:tc>
          <w:tcPr>
            <w:tcW w:type="dxa" w:w="22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22C55E"/>
                <w:sz w:val="18"/>
                <w:szCs w:val="18"/>
              </w:rPr>
              <w:t xml:space="preserve">$95.64</w:t>
            </w:r>
          </w:p>
        </w:tc>
      </w:tr>
      <w:tr>
        <w:tc>
          <w:tcPr>
            <w:tcW w:type="dxa" w:w="29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Premium</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$199</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$7.63</w:t>
            </w:r>
          </w:p>
        </w:tc>
        <w:tc>
          <w:tcPr>
            <w:tcW w:type="dxa" w:w="22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22C55E"/>
                <w:sz w:val="18"/>
                <w:szCs w:val="18"/>
              </w:rPr>
              <w:t xml:space="preserve">$191.37</w:t>
            </w:r>
          </w:p>
        </w:tc>
      </w:tr>
      <w:tr>
        <w:tc>
          <w:tcPr>
            <w:tcW w:type="dxa" w:w="29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Enterprise</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$499</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$20.25</w:t>
            </w:r>
          </w:p>
        </w:tc>
        <w:tc>
          <w:tcPr>
            <w:tcW w:type="dxa" w:w="22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22C55E"/>
                <w:sz w:val="18"/>
                <w:szCs w:val="18"/>
              </w:rPr>
              <w:t xml:space="preserve">$478.75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0"/>
              <w:left w:val="single" w:color="E94560" w:sz="22"/>
              <w:bottom w:val="single" w:color="E94560" w:sz="10"/>
              <w:right w:val="single" w:color="E94560" w:sz="1"/>
            </w:tcBorders>
            <w:shd w:fill="FCE7EC"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The verdict on unit economics</w:t>
            </w:r>
          </w:p>
          <w:p>
            <w:pPr>
              <w:spacing w:after="30" w:before="30"/>
              <w:jc w:val="both"/>
            </w:pPr>
            <w:r>
              <w:rPr>
                <w:rFonts w:ascii="Inter" w:cs="Inter" w:eastAsia="Inter" w:hAnsi="Inter"/>
                <w:color w:val="1A1A2E"/>
                <w:sz w:val="19"/>
                <w:szCs w:val="19"/>
              </w:rPr>
              <w:t xml:space="preserve">Even in the worst case where every user maxes every limit, AI cost stays under ~11% of revenue on every plan. At typical usage it is 2–5%. The product's AI gross margin is healthy. The danger is not the model — it is (1) defaulting to the most expensive model for routine copy, (2) the word 'Unlimited', and (3) no metering. The build spec addresses all three: a model layer that routes routine work to the workhorse model, plan limits enforced via usage counters, and per-token accounting from day one.</w:t>
            </w:r>
          </w:p>
        </w:tc>
      </w:tr>
    </w:tbl>
    <w:p>
      <w:pPr>
        <w:pStyle w:val="Heading2"/>
        <w:spacing w:after="90" w:before="240"/>
      </w:pPr>
      <w:r>
        <w:rPr>
          <w:rFonts w:ascii="Inter" w:cs="Inter" w:eastAsia="Inter" w:hAnsi="Inter"/>
          <w:b/>
          <w:bCs/>
          <w:color w:val="0F3460"/>
          <w:sz w:val="25"/>
          <w:szCs w:val="25"/>
        </w:rPr>
        <w:t xml:space="preserve">3.4 The 'Unlimited' caveat</w:t>
      </w:r>
    </w:p>
    <w:p>
      <w:pPr>
        <w:spacing w:after="60" w:before="60"/>
        <w:jc w:val="both"/>
      </w:pPr>
      <w:r>
        <w:rPr>
          <w:rFonts w:ascii="Inter" w:cs="Inter" w:eastAsia="Inter" w:hAnsi="Inter"/>
          <w:color w:val="1A1A2E"/>
          <w:sz w:val="20"/>
          <w:szCs w:val="20"/>
        </w:rPr>
        <w:t xml:space="preserve">Premium's 'Unlimited strategy' and Enterprise's 'Unlimited generations' (PRD §12.1) are real cost risks if taken literally. Recommendation: implement 'Unlimited' as a high fair-use ceiling (e.g. Enterprise = 1,500 generations / 500 images / 20 strategies per month) with a soft throttle and a courteous message beyond it. This keeps the worst-case AI cost bounded at the figures above rather than open-ended. It also aligns with Instagram's own hard publishing ceiling (≈25–100 posts/account/24h), which already caps how much published output any account can consume.</w:t>
      </w:r>
    </w:p>
    <w:p>
      <w:r>
        <w:br w:type="page"/>
      </w:r>
    </w:p>
    <w:p>
      <w:pPr>
        <w:pStyle w:val="Heading1"/>
        <w:spacing w:after="140" w:before="360"/>
      </w:pPr>
      <w:r>
        <w:rPr>
          <w:rFonts w:ascii="Inter" w:cs="Inter" w:eastAsia="Inter" w:hAnsi="Inter"/>
          <w:b/>
          <w:bCs/>
          <w:color w:val="1A1A2E"/>
          <w:sz w:val="30"/>
          <w:szCs w:val="30"/>
        </w:rPr>
        <w:t xml:space="preserve">4. Hosting &amp; Infrastructure Cost</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Infrastructure is a base floor that grows in steps as you scale, not linearly per user. Two scenarios are modeled: Launch (hundreds to ~2,000 users) and Growth (toward the PRD's 10,000-concurrent target). Figures are monthly, from AWS public pricing.</w:t>
      </w:r>
    </w:p>
    <w:p>
      <w:pPr>
        <w:pStyle w:val="Heading2"/>
        <w:spacing w:after="90" w:before="240"/>
      </w:pPr>
      <w:r>
        <w:rPr>
          <w:rFonts w:ascii="Inter" w:cs="Inter" w:eastAsia="Inter" w:hAnsi="Inter"/>
          <w:b/>
          <w:bCs/>
          <w:color w:val="0F3460"/>
          <w:sz w:val="25"/>
          <w:szCs w:val="25"/>
        </w:rPr>
        <w:t xml:space="preserve">4.1 Launch scale (≈ hundreds to 2,000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Component</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 / month</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RDS PostgreSQL (db.m5.large, Multi-AZ) + 100 GB</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$274</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ElastiCache Redis (cache.m5.large)</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$117</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ECS Fargate (gateway + AI service + workers, ~5 vCPU/10 GB)</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$175</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S3 storage (~2 TB media)</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$46</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CloudFront egress (~3 TB)</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$255</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SQS (~25M messages)</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$10</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SES email</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$5</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ALB + NAT gateway + CloudWatch + backups</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$140</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AWS subtotal</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$1,022</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Sentry + Datadog + SendGrid (tooling)</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$205</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Launch infrastructure total</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E94560"/>
                <w:sz w:val="18"/>
                <w:szCs w:val="18"/>
              </w:rPr>
              <w:t xml:space="preserve">≈ $1,230 / month</w:t>
            </w:r>
          </w:p>
        </w:tc>
      </w:tr>
    </w:tbl>
    <w:p>
      <w:pPr>
        <w:pStyle w:val="Heading2"/>
        <w:spacing w:after="90" w:before="240"/>
      </w:pPr>
      <w:r>
        <w:rPr>
          <w:rFonts w:ascii="Inter" w:cs="Inter" w:eastAsia="Inter" w:hAnsi="Inter"/>
          <w:b/>
          <w:bCs/>
          <w:color w:val="0F3460"/>
          <w:sz w:val="25"/>
          <w:szCs w:val="25"/>
        </w:rPr>
        <w:t xml:space="preserve">4.2 Growth scale (≈ 10,000-concurrent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Component</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 / month</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RDS PostgreSQL (larger, Multi-AZ + read replica) + 300 GB</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$560</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ElastiCache Redis (2-node cluster)</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$234</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ECS Fargate (autoscaled, ~16 vCPU/32 GB avg)</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$561</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S3 storage (~10 TB media)</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$230</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CloudFront egress (~15 TB)</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$1,275</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SQS (~100M messages)</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$40</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SES email</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$30</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ALB + NAT + CloudWatch + backups + OpenSearch</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$255</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AWS subtotal</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$3,184</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Sentry + Datadog + SendGrid (tooling)</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$520</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Growth infrastructure total</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E94560"/>
                <w:sz w:val="18"/>
                <w:szCs w:val="18"/>
              </w:rPr>
              <w:t xml:space="preserve">≈ $3,700 /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2"/>
              <w:bottom w:val="single" w:color="0F3460" w:sz="10"/>
              <w:right w:val="single" w:color="0F3460" w:sz="1"/>
            </w:tcBorders>
            <w:shd w:fill="EEF2F7"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Two infra cost-savers worth knowing</w:t>
            </w:r>
          </w:p>
          <w:p>
            <w:pPr>
              <w:spacing w:after="30" w:before="30"/>
              <w:jc w:val="both"/>
            </w:pPr>
            <w:r>
              <w:rPr>
                <w:rFonts w:ascii="Inter" w:cs="Inter" w:eastAsia="Inter" w:hAnsi="Inter"/>
                <w:color w:val="1A1A2E"/>
                <w:sz w:val="19"/>
                <w:szCs w:val="19"/>
              </w:rPr>
              <w:t xml:space="preserve">Reserved capacity / Savings Plans: committing to 1 year on the steady-state RDS, Redis, and Fargate baseline cuts those lines 30–55%. Don't commit until usage is stable (post-launch). CloudFront egress is the sneaky line: it becomes the largest infra cost at scale because the product is media-heavy. Aggressive caching, right-sized images, and modern formats (WebP/AVIF) materially reduce it — build this discipline into the media service from the start.</w:t>
            </w:r>
          </w:p>
        </w:tc>
      </w:tr>
    </w:tbl>
    <w:p>
      <w:pPr>
        <w:pStyle w:val="Heading2"/>
        <w:spacing w:after="90" w:before="240"/>
      </w:pPr>
      <w:r>
        <w:rPr>
          <w:rFonts w:ascii="Inter" w:cs="Inter" w:eastAsia="Inter" w:hAnsi="Inter"/>
          <w:b/>
          <w:bCs/>
          <w:color w:val="0F3460"/>
          <w:sz w:val="25"/>
          <w:szCs w:val="25"/>
        </w:rPr>
        <w:t xml:space="preserve">4.3 Development &amp; staging environments</w:t>
      </w:r>
    </w:p>
    <w:p>
      <w:pPr>
        <w:spacing w:after="60" w:before="60"/>
        <w:jc w:val="both"/>
      </w:pPr>
      <w:r>
        <w:rPr>
          <w:rFonts w:ascii="Inter" w:cs="Inter" w:eastAsia="Inter" w:hAnsi="Inter"/>
          <w:color w:val="1A1A2E"/>
          <w:sz w:val="20"/>
          <w:szCs w:val="20"/>
        </w:rPr>
        <w:t xml:space="preserve">Add roughly $300–$500 / month during the build for non-production environments (single-AZ, smaller instances, switched off out of hours). This is a build-phase cost that mostly disappears into the launch floor afterward.</w:t>
      </w:r>
    </w:p>
    <w:p>
      <w:r>
        <w:br w:type="page"/>
      </w:r>
    </w:p>
    <w:p>
      <w:pPr>
        <w:pStyle w:val="Heading1"/>
        <w:spacing w:after="140" w:before="360"/>
      </w:pPr>
      <w:r>
        <w:rPr>
          <w:rFonts w:ascii="Inter" w:cs="Inter" w:eastAsia="Inter" w:hAnsi="Inter"/>
          <w:b/>
          <w:bCs/>
          <w:color w:val="1A1A2E"/>
          <w:sz w:val="30"/>
          <w:szCs w:val="30"/>
        </w:rPr>
        <w:t xml:space="preserve">5. Build Cost (solo, with Codex + VS Code)</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You are building this yourself with an AI coding agent (Codex) in VS Code — no engineers, no designer, no salaries. That removes what is normally ~95% of the cost of a product like this. The build cost collapses from hundreds of thousands of dollars to essentially your own tool subscriptions plus the cloud you run during development. This is the single biggest swing in the whole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0"/>
              <w:left w:val="single" w:color="E94560" w:sz="22"/>
              <w:bottom w:val="single" w:color="E94560" w:sz="10"/>
              <w:right w:val="single" w:color="E94560" w:sz="1"/>
            </w:tcBorders>
            <w:shd w:fill="FCE7EC"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What this changes</w:t>
            </w:r>
          </w:p>
          <w:p>
            <w:pPr>
              <w:spacing w:after="30" w:before="30"/>
              <w:jc w:val="both"/>
            </w:pPr>
            <w:r>
              <w:rPr>
                <w:rFonts w:ascii="Inter" w:cs="Inter" w:eastAsia="Inter" w:hAnsi="Inter"/>
                <w:color w:val="1A1A2E"/>
                <w:sz w:val="19"/>
                <w:szCs w:val="19"/>
              </w:rPr>
              <w:t xml:space="preserve">A full market-rate team would have cost roughly $570k–$820k to build the MVP. Building solo with Codex, the cash cost is on the order of $3k–$21k — a ~40× to 100× reduction. The real cost becomes your time, not money. A realistic solo timeline for this scope is longer than a team's 30 weeks — plan for roughly 6–12 months of focused work; the model below assumes ~9 months.</w:t>
            </w:r>
          </w:p>
        </w:tc>
      </w:tr>
    </w:tbl>
    <w:p>
      <w:pPr>
        <w:pStyle w:val="Heading2"/>
        <w:spacing w:after="90" w:before="240"/>
      </w:pPr>
      <w:r>
        <w:rPr>
          <w:rFonts w:ascii="Inter" w:cs="Inter" w:eastAsia="Inter" w:hAnsi="Inter"/>
          <w:b/>
          <w:bCs/>
          <w:color w:val="0F3460"/>
          <w:sz w:val="25"/>
          <w:szCs w:val="25"/>
        </w:rPr>
        <w:t xml:space="preserve">5.1 Your coding tool subscription</w:t>
      </w:r>
    </w:p>
    <w:p>
      <w:pPr>
        <w:spacing w:after="60" w:before="60"/>
        <w:jc w:val="both"/>
      </w:pPr>
      <w:r>
        <w:rPr>
          <w:rFonts w:ascii="Inter" w:cs="Inter" w:eastAsia="Inter" w:hAnsi="Inter"/>
          <w:color w:val="1A1A2E"/>
          <w:sz w:val="20"/>
          <w:szCs w:val="20"/>
        </w:rPr>
        <w:t xml:space="preserve">Codex is bundled into ChatGPT plans (and Anthropic's Claude Code into Claude plans). Current tiers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Plan</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Price / mo</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Fit for this build</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ChatGPT Plus (Codex)</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$20</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Light/entry use; the Plus ceiling is hit fast on long agentic coding sessions</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ChatGPT Pro 5x (Codex)</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$100</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The practical sweet spot for sustained solo building — 5× Plus's Codex usage</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ChatGPT Pro 20x (Codex)</w:t>
            </w:r>
          </w:p>
        </w:tc>
        <w:tc>
          <w:tcPr>
            <w:tcW w:type="dxa" w:w="20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$200</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Heavy all-day coding; 20× Plus limits</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Claude Max 5x / 20x (Claude Code)</w:t>
            </w:r>
          </w:p>
        </w:tc>
        <w:tc>
          <w:tcPr>
            <w:tcW w:type="dxa" w:w="20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$100 / $200</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Equivalent Anthropic option; many builders run one of each</w:t>
            </w:r>
          </w:p>
        </w:tc>
      </w:tr>
    </w:tbl>
    <w:p>
      <w:pPr>
        <w:spacing w:after="60" w:before="40"/>
        <w:jc w:val="both"/>
      </w:pPr>
      <w:r>
        <w:rPr>
          <w:rFonts w:ascii="Inter" w:cs="Inter" w:eastAsia="Inter" w:hAnsi="Inter"/>
          <w:color w:val="1A1A2E"/>
          <w:sz w:val="20"/>
          <w:szCs w:val="20"/>
        </w:rPr>
        <w:t xml:space="preserve">For a build of this size, budget the $100/month tier (Pro 5x or Claude Max 5x) as the realistic working plan, occasionally $200 during intense stretches. Over ~9 months that is roughly $900–$1,800.</w:t>
      </w:r>
    </w:p>
    <w:p>
      <w:pPr>
        <w:pStyle w:val="Heading2"/>
        <w:spacing w:after="90" w:before="240"/>
      </w:pPr>
      <w:r>
        <w:rPr>
          <w:rFonts w:ascii="Inter" w:cs="Inter" w:eastAsia="Inter" w:hAnsi="Inter"/>
          <w:b/>
          <w:bCs/>
          <w:color w:val="0F3460"/>
          <w:sz w:val="25"/>
          <w:szCs w:val="25"/>
        </w:rPr>
        <w:t xml:space="preserve">5.2 Everything else during the build (~9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Item</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Cost over the build</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Coding subscription ($100–$200/mo × ~9 mo)</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$900–$1,800</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Dev + staging AWS (single-AZ, small, off-hours)</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$1,350–$3,150</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Product AI usage while building &amp; testing the agents</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$1,500–$3,000</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Figma (free–$15/mo), domain, GitHub (free solo), CI</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$200–$600</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Optional pre-launch security audit</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$0–$8,000</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Solo build total</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E94560"/>
                <w:sz w:val="18"/>
                <w:szCs w:val="18"/>
              </w:rPr>
              <w:t xml:space="preserve">≈ $4k–$16k</w:t>
            </w:r>
          </w:p>
        </w:tc>
      </w:tr>
    </w:tbl>
    <w:p>
      <w:pPr>
        <w:spacing w:after="60" w:before="40"/>
        <w:jc w:val="both"/>
      </w:pPr>
      <w:r>
        <w:rPr>
          <w:rFonts w:ascii="Inter" w:cs="Inter" w:eastAsia="Inter" w:hAnsi="Inter"/>
          <w:color w:val="1A1A2E"/>
          <w:sz w:val="20"/>
          <w:szCs w:val="20"/>
        </w:rPr>
        <w:t xml:space="preserve">The wide range is almost entirely the optional security audit. Skip or defer it and the build comes in around $4k–$8k; commission a proper third-party audit before taking real user data and add up to ~$8k. A practical planning midpoint is roughly $8k–$10k all-in.</w:t>
      </w:r>
    </w:p>
    <w:p>
      <w:pPr>
        <w:pStyle w:val="Heading2"/>
        <w:spacing w:after="90" w:before="240"/>
      </w:pPr>
      <w:r>
        <w:rPr>
          <w:rFonts w:ascii="Inter" w:cs="Inter" w:eastAsia="Inter" w:hAnsi="Inter"/>
          <w:b/>
          <w:bCs/>
          <w:color w:val="0F3460"/>
          <w:sz w:val="25"/>
          <w:szCs w:val="25"/>
        </w:rPr>
        <w:t xml:space="preserve">5.3 The honest trade-off</w:t>
      </w:r>
    </w:p>
    <w:p>
      <w:pPr>
        <w:pStyle w:val="ListParagraph"/>
        <w:numPr>
          <w:ilvl w:val="0"/>
          <w:numId w:val="2"/>
        </w:numPr>
        <w:spacing w:after="30" w:before="30"/>
      </w:pPr>
      <w:r>
        <w:rPr>
          <w:rFonts w:ascii="Inter" w:cs="Inter" w:eastAsia="Inter" w:hAnsi="Inter"/>
          <w:b/>
          <w:bCs/>
          <w:color w:val="1A1A2E"/>
          <w:sz w:val="20"/>
          <w:szCs w:val="20"/>
        </w:rPr>
        <w:t xml:space="preserve">You trade money for time. </w:t>
      </w:r>
      <w:r>
        <w:rPr>
          <w:rFonts w:ascii="Inter" w:cs="Inter" w:eastAsia="Inter" w:hAnsi="Inter"/>
          <w:color w:val="1A1A2E"/>
          <w:sz w:val="20"/>
          <w:szCs w:val="20"/>
        </w:rPr>
        <w:t xml:space="preserve">Solo-with-Codex is dramatically cheaper but slower than a team, and the quality depends on your ability to direct, review, and correct the agent — especially on the high-risk parts (payments, the Instagram publishing state machine, security, and tenant isolation).</w:t>
      </w:r>
    </w:p>
    <w:p>
      <w:pPr>
        <w:pStyle w:val="ListParagraph"/>
        <w:numPr>
          <w:ilvl w:val="0"/>
          <w:numId w:val="2"/>
        </w:numPr>
        <w:spacing w:after="30" w:before="30"/>
      </w:pPr>
      <w:r>
        <w:rPr>
          <w:rFonts w:ascii="Inter" w:cs="Inter" w:eastAsia="Inter" w:hAnsi="Inter"/>
          <w:b/>
          <w:bCs/>
          <w:color w:val="1A1A2E"/>
          <w:sz w:val="20"/>
          <w:szCs w:val="20"/>
        </w:rPr>
        <w:t xml:space="preserve">Drive Codex milestone-by-milestone </w:t>
      </w:r>
      <w:r>
        <w:rPr>
          <w:rFonts w:ascii="Inter" w:cs="Inter" w:eastAsia="Inter" w:hAnsi="Inter"/>
          <w:color w:val="1A1A2E"/>
          <w:sz w:val="20"/>
          <w:szCs w:val="20"/>
        </w:rPr>
        <w:t xml:space="preserve">(per the build spec's M0→M6), reviewing each gate, rather than asking it to build everything at once. This is what keeps a solo build from accumulating silent defects.</w:t>
      </w:r>
    </w:p>
    <w:p>
      <w:pPr>
        <w:pStyle w:val="ListParagraph"/>
        <w:numPr>
          <w:ilvl w:val="0"/>
          <w:numId w:val="2"/>
        </w:numPr>
        <w:spacing w:after="30" w:before="30"/>
      </w:pPr>
      <w:r>
        <w:rPr>
          <w:rFonts w:ascii="Inter" w:cs="Inter" w:eastAsia="Inter" w:hAnsi="Inter"/>
          <w:b/>
          <w:bCs/>
          <w:color w:val="1A1A2E"/>
          <w:sz w:val="20"/>
          <w:szCs w:val="20"/>
        </w:rPr>
        <w:t xml:space="preserve">Budget the security audit even though it's optional. </w:t>
      </w:r>
      <w:r>
        <w:rPr>
          <w:rFonts w:ascii="Inter" w:cs="Inter" w:eastAsia="Inter" w:hAnsi="Inter"/>
          <w:color w:val="1A1A2E"/>
          <w:sz w:val="20"/>
          <w:szCs w:val="20"/>
        </w:rPr>
        <w:t xml:space="preserve">It is the one line where a solo builder is most exposed, because there's no second engineer reviewing the auth, encryption, and isolation code. It's cheap insurance before you hold customers' Instagram tokens and card-linked accounts.</w:t>
      </w:r>
    </w:p>
    <w:p>
      <w:r>
        <w:br w:type="page"/>
      </w:r>
    </w:p>
    <w:p>
      <w:pPr>
        <w:pStyle w:val="Heading1"/>
        <w:spacing w:after="140" w:before="360"/>
      </w:pPr>
      <w:r>
        <w:rPr>
          <w:rFonts w:ascii="Inter" w:cs="Inter" w:eastAsia="Inter" w:hAnsi="Inter"/>
          <w:b/>
          <w:bCs/>
          <w:color w:val="1A1A2E"/>
          <w:sz w:val="30"/>
          <w:szCs w:val="30"/>
        </w:rPr>
        <w:t xml:space="preserve">6. The Bahrain Market — Local Adjustments</w:t>
      </w:r>
    </w:p>
    <w:p>
      <w:pPr>
        <w:pBdr>
          <w:bottom w:val="single" w:color="E94560" w:sz="8" w:space="1"/>
        </w:pBdr>
        <w:spacing w:after="120" w:before="0"/>
      </w:pPr>
    </w:p>
    <w:p>
      <w:pPr>
        <w:spacing w:after="60" w:before="60"/>
        <w:jc w:val="both"/>
      </w:pPr>
      <w:r>
        <w:rPr>
          <w:rFonts w:ascii="Inter" w:cs="Inter" w:eastAsia="Inter" w:hAnsi="Inter"/>
          <w:color w:val="1A1A2E"/>
          <w:sz w:val="20"/>
          <w:szCs w:val="20"/>
        </w:rPr>
        <w:t xml:space="preserve">This product is being built for the Bahrain market, which changes several real cost and compliance inputs versus a generic US build. None of these break the economics — in fact the local payment rails are slightly cheaper than Stripe — but they must be planned for. All BHD figures use the pegged rate of 1 BHD ≈ $2.65.</w:t>
      </w:r>
    </w:p>
    <w:p>
      <w:pPr>
        <w:pStyle w:val="Heading2"/>
        <w:spacing w:after="90" w:before="240"/>
      </w:pPr>
      <w:r>
        <w:rPr>
          <w:rFonts w:ascii="Inter" w:cs="Inter" w:eastAsia="Inter" w:hAnsi="Inter"/>
          <w:b/>
          <w:bCs/>
          <w:color w:val="0F3460"/>
          <w:sz w:val="25"/>
          <w:szCs w:val="25"/>
        </w:rPr>
        <w:t xml:space="preserve">6.1 Payments — use local rails, not just Stripe</w:t>
      </w:r>
    </w:p>
    <w:p>
      <w:pPr>
        <w:spacing w:after="60" w:before="60"/>
        <w:jc w:val="both"/>
      </w:pPr>
      <w:r>
        <w:rPr>
          <w:rFonts w:ascii="Inter" w:cs="Inter" w:eastAsia="Inter" w:hAnsi="Inter"/>
          <w:color w:val="1A1A2E"/>
          <w:sz w:val="20"/>
          <w:szCs w:val="20"/>
        </w:rPr>
        <w:t xml:space="preserve">Bahraini customers expect to pay with locally issued cards and BenefitPay. Bahrain also mandates that CR-registered businesses offer an approved local digital payment method (BENEFIT gateway or an approved PSP). The good news: local processing is typically cheaper than international Stripe and usually has no fixed per-transaction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260"/>
      </w:tblGrid>
      <w:tr>
        <w:trPr>
          <w:tblHeader/>
        </w:trPr>
        <w:tc>
          <w:tcPr>
            <w:tcW w:type="dxa" w:w="3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Option</w:t>
            </w:r>
          </w:p>
        </w:tc>
        <w:tc>
          <w:tcPr>
            <w:tcW w:type="dxa" w:w="27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Fee</w:t>
            </w:r>
          </w:p>
        </w:tc>
        <w:tc>
          <w:tcPr>
            <w:tcW w:type="dxa" w:w="32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Notes</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CrediMax payment gateway</w:t>
            </w:r>
          </w:p>
        </w:tc>
        <w:tc>
          <w:tcPr>
            <w:tcW w:type="dxa" w:w="2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~1.9%–$3.2% MDR</w:t>
            </w:r>
          </w:p>
        </w:tc>
        <w:tc>
          <w:tcPr>
            <w:tcW w:type="dxa" w:w="32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Mastercard Payment Gateway Services; powers much of Bahraini e-commerce; supports recurring/tokenized billing for subscriptions</w:t>
            </w:r>
          </w:p>
        </w:tc>
      </w:tr>
      <w:tr>
        <w:tc>
          <w:tcPr>
            <w:tcW w:type="dxa" w:w="3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BENEFIT gateway / BenefitPay</w:t>
            </w:r>
          </w:p>
        </w:tc>
        <w:tc>
          <w:tcPr>
            <w:tcW w:type="dxa" w:w="27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~1.9%–$3.2% MDR</w:t>
            </w:r>
          </w:p>
        </w:tc>
        <w:tc>
          <w:tcPr>
            <w:tcW w:type="dxa" w:w="32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Local debit cards + QR wallet; mandated-friendly; near-instant settlement</w:t>
            </w:r>
          </w:p>
        </w:tc>
      </w:tr>
      <w:tr>
        <w:tc>
          <w:tcPr>
            <w:tcW w:type="dxa" w:w="3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Stripe (international fallback)</w:t>
            </w:r>
          </w:p>
        </w:tc>
        <w:tc>
          <w:tcPr>
            <w:tcW w:type="dxa" w:w="27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2.9% + $0.30</w:t>
            </w:r>
          </w:p>
        </w:tc>
        <w:tc>
          <w:tcPr>
            <w:tcW w:type="dxa" w:w="32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For non-Bahraini / international cards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0"/>
              <w:left w:val="single" w:color="0F3460" w:sz="22"/>
              <w:bottom w:val="single" w:color="0F3460" w:sz="10"/>
              <w:right w:val="single" w:color="0F3460" w:sz="1"/>
            </w:tcBorders>
            <w:shd w:fill="EEF2F7"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Local payments are cheaper here</w:t>
            </w:r>
          </w:p>
          <w:p>
            <w:pPr>
              <w:spacing w:after="30" w:before="30"/>
              <w:jc w:val="both"/>
            </w:pPr>
            <w:r>
              <w:rPr>
                <w:rFonts w:ascii="Inter" w:cs="Inter" w:eastAsia="Inter" w:hAnsi="Inter"/>
                <w:color w:val="1A1A2E"/>
                <w:sz w:val="19"/>
                <w:szCs w:val="19"/>
              </w:rPr>
              <w:t xml:space="preserve">On a $99 (Growth) charge, Stripe costs ~$3.17 (3.2% effective once the $0.30 fixed fee is included), while a local gateway at ~2.5% costs ~$2.48. Because most of your Bahrain revenue will run on local cards with no fixed per-charge fee, your blended payment cost is lower than the Stripe figure used earlier in this document — model ~2.5% rather than 2.9% + $0.30. Setup is free to ~BHD 100, and onboarding requires a valid CR, CPR/passport, and the gateway agreement.</w:t>
            </w:r>
          </w:p>
        </w:tc>
      </w:tr>
    </w:tbl>
    <w:p>
      <w:pPr>
        <w:pStyle w:val="Heading2"/>
        <w:spacing w:after="90" w:before="240"/>
      </w:pPr>
      <w:r>
        <w:rPr>
          <w:rFonts w:ascii="Inter" w:cs="Inter" w:eastAsia="Inter" w:hAnsi="Inter"/>
          <w:b/>
          <w:bCs/>
          <w:color w:val="0F3460"/>
          <w:sz w:val="25"/>
          <w:szCs w:val="25"/>
        </w:rPr>
        <w:t xml:space="preserve">6.2 VAT — 10%, register early</w:t>
      </w:r>
    </w:p>
    <w:p>
      <w:pPr>
        <w:pStyle w:val="ListParagraph"/>
        <w:numPr>
          <w:ilvl w:val="0"/>
          <w:numId w:val="2"/>
        </w:numPr>
        <w:spacing w:after="30" w:before="30"/>
      </w:pPr>
      <w:r>
        <w:rPr>
          <w:rFonts w:ascii="Inter" w:cs="Inter" w:eastAsia="Inter" w:hAnsi="Inter"/>
          <w:b/>
          <w:bCs/>
          <w:color w:val="1A1A2E"/>
          <w:sz w:val="20"/>
          <w:szCs w:val="20"/>
        </w:rPr>
        <w:t xml:space="preserve">Bahrain VAT is 10%. </w:t>
      </w:r>
      <w:r>
        <w:rPr>
          <w:rFonts w:ascii="Inter" w:cs="Inter" w:eastAsia="Inter" w:hAnsi="Inter"/>
          <w:color w:val="1A1A2E"/>
          <w:sz w:val="20"/>
          <w:szCs w:val="20"/>
        </w:rPr>
        <w:t xml:space="preserve">Mandatory registration once annual taxable supplies exceed BHD 37,500 (voluntary above BHD 18,750). At your target scale you will cross this quickly, so plan to register with the NBR.</w:t>
      </w:r>
    </w:p>
    <w:p>
      <w:pPr>
        <w:pStyle w:val="ListParagraph"/>
        <w:numPr>
          <w:ilvl w:val="0"/>
          <w:numId w:val="2"/>
        </w:numPr>
        <w:spacing w:after="30" w:before="30"/>
      </w:pPr>
      <w:r>
        <w:rPr>
          <w:rFonts w:ascii="Inter" w:cs="Inter" w:eastAsia="Inter" w:hAnsi="Inter"/>
          <w:b/>
          <w:bCs/>
          <w:color w:val="1A1A2E"/>
          <w:sz w:val="20"/>
          <w:szCs w:val="20"/>
        </w:rPr>
        <w:t xml:space="preserve">VAT is not your cost — it's the customer's, </w:t>
      </w:r>
      <w:r>
        <w:rPr>
          <w:rFonts w:ascii="Inter" w:cs="Inter" w:eastAsia="Inter" w:hAnsi="Inter"/>
          <w:color w:val="1A1A2E"/>
          <w:sz w:val="20"/>
          <w:szCs w:val="20"/>
        </w:rPr>
        <w:t xml:space="preserve">but how you price determines your net. If you price VAT-exclusive (e.g. “BD 38 + VAT”), you keep the full price and remit the 10% separately. If you price VAT-inclusive (“BD 38 incl. VAT”), your net is BD 34.55 and you remit BD 3.45.</w:t>
      </w:r>
    </w:p>
    <w:p>
      <w:pPr>
        <w:pStyle w:val="ListParagraph"/>
        <w:numPr>
          <w:ilvl w:val="0"/>
          <w:numId w:val="2"/>
        </w:numPr>
        <w:spacing w:after="30" w:before="30"/>
      </w:pPr>
      <w:r>
        <w:rPr>
          <w:rFonts w:ascii="Inter" w:cs="Inter" w:eastAsia="Inter" w:hAnsi="Inter"/>
          <w:b/>
          <w:bCs/>
          <w:color w:val="1A1A2E"/>
          <w:sz w:val="20"/>
          <w:szCs w:val="20"/>
        </w:rPr>
        <w:t xml:space="preserve">Recommendation: </w:t>
      </w:r>
      <w:r>
        <w:rPr>
          <w:rFonts w:ascii="Inter" w:cs="Inter" w:eastAsia="Inter" w:hAnsi="Inter"/>
          <w:color w:val="1A1A2E"/>
          <w:sz w:val="20"/>
          <w:szCs w:val="20"/>
        </w:rPr>
        <w:t xml:space="preserve">price VAT-exclusive for B2B customers (most can reclaim it) and decide consciously for B2C. Use a billing system that records VAT correctly from day one — NBR requires proper VAT invoices and online filing.</w:t>
      </w:r>
    </w:p>
    <w:p>
      <w:pPr>
        <w:pStyle w:val="Heading2"/>
        <w:spacing w:after="90" w:before="240"/>
      </w:pPr>
      <w:r>
        <w:rPr>
          <w:rFonts w:ascii="Inter" w:cs="Inter" w:eastAsia="Inter" w:hAnsi="Inter"/>
          <w:b/>
          <w:bCs/>
          <w:color w:val="0F3460"/>
          <w:sz w:val="25"/>
          <w:szCs w:val="25"/>
        </w:rPr>
        <w:t xml:space="preserve">6.3 Suggested local plan pricing</w:t>
      </w:r>
    </w:p>
    <w:p>
      <w:pPr>
        <w:spacing w:after="60" w:before="60"/>
        <w:jc w:val="both"/>
      </w:pPr>
      <w:r>
        <w:rPr>
          <w:rFonts w:ascii="Inter" w:cs="Inter" w:eastAsia="Inter" w:hAnsi="Inter"/>
          <w:color w:val="1A1A2E"/>
          <w:sz w:val="20"/>
          <w:szCs w:val="20"/>
        </w:rPr>
        <w:t xml:space="preserve">Your USD plan prices convert to BHD as below. Round to clean local numbers and state the VAT treatment explicitly on the pricing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200"/>
        <w:gridCol w:w="2060"/>
      </w:tblGrid>
      <w:tr>
        <w:trPr>
          <w:tblHeader/>
        </w:trPr>
        <w:tc>
          <w:tcPr>
            <w:tcW w:type="dxa" w:w="2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Plan</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USD</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 BHD</w:t>
            </w:r>
          </w:p>
        </w:tc>
        <w:tc>
          <w:tcPr>
            <w:tcW w:type="dxa" w:w="20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Suggested local</w:t>
            </w:r>
          </w:p>
        </w:tc>
      </w:tr>
      <w:tr>
        <w:tc>
          <w:tcPr>
            <w:tcW w:type="dxa" w:w="29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Starter</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$49</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BD 18.5</w:t>
            </w:r>
          </w:p>
        </w:tc>
        <w:tc>
          <w:tcPr>
            <w:tcW w:type="dxa" w:w="20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BD 18 + VAT</w:t>
            </w:r>
          </w:p>
        </w:tc>
      </w:tr>
      <w:tr>
        <w:tc>
          <w:tcPr>
            <w:tcW w:type="dxa" w:w="29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Growth</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$99</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BD 37.3</w:t>
            </w:r>
          </w:p>
        </w:tc>
        <w:tc>
          <w:tcPr>
            <w:tcW w:type="dxa" w:w="20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BD 37 + VAT</w:t>
            </w:r>
          </w:p>
        </w:tc>
      </w:tr>
      <w:tr>
        <w:tc>
          <w:tcPr>
            <w:tcW w:type="dxa" w:w="29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Premium</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$199</w:t>
            </w:r>
          </w:p>
        </w:tc>
        <w:tc>
          <w:tcPr>
            <w:tcW w:type="dxa" w:w="2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BD 75.0</w:t>
            </w:r>
          </w:p>
        </w:tc>
        <w:tc>
          <w:tcPr>
            <w:tcW w:type="dxa" w:w="20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BD 75 + VAT</w:t>
            </w:r>
          </w:p>
        </w:tc>
      </w:tr>
      <w:tr>
        <w:tc>
          <w:tcPr>
            <w:tcW w:type="dxa" w:w="29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Enterprise</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$499</w:t>
            </w:r>
          </w:p>
        </w:tc>
        <w:tc>
          <w:tcPr>
            <w:tcW w:type="dxa" w:w="2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BD 188</w:t>
            </w:r>
          </w:p>
        </w:tc>
        <w:tc>
          <w:tcPr>
            <w:tcW w:type="dxa" w:w="20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BD 188 + VAT</w:t>
            </w:r>
          </w:p>
        </w:tc>
      </w:tr>
    </w:tbl>
    <w:p>
      <w:pPr>
        <w:pStyle w:val="Heading2"/>
        <w:spacing w:after="90" w:before="240"/>
      </w:pPr>
      <w:r>
        <w:rPr>
          <w:rFonts w:ascii="Inter" w:cs="Inter" w:eastAsia="Inter" w:hAnsi="Inter"/>
          <w:b/>
          <w:bCs/>
          <w:color w:val="0F3460"/>
          <w:sz w:val="25"/>
          <w:szCs w:val="25"/>
        </w:rPr>
        <w:t xml:space="preserve">6.4 Hosting region &amp; data residency</w:t>
      </w:r>
    </w:p>
    <w:p>
      <w:pPr>
        <w:pStyle w:val="ListParagraph"/>
        <w:numPr>
          <w:ilvl w:val="0"/>
          <w:numId w:val="2"/>
        </w:numPr>
        <w:spacing w:after="30" w:before="30"/>
      </w:pPr>
      <w:r>
        <w:rPr>
          <w:rFonts w:ascii="Inter" w:cs="Inter" w:eastAsia="Inter" w:hAnsi="Inter"/>
          <w:b/>
          <w:bCs/>
          <w:color w:val="1A1A2E"/>
          <w:sz w:val="20"/>
          <w:szCs w:val="20"/>
        </w:rPr>
        <w:t xml:space="preserve">AWS has a Bahrain region (me-south-1). </w:t>
      </w:r>
      <w:r>
        <w:rPr>
          <w:rFonts w:ascii="Inter" w:cs="Inter" w:eastAsia="Inter" w:hAnsi="Inter"/>
          <w:color w:val="1A1A2E"/>
          <w:sz w:val="20"/>
          <w:szCs w:val="20"/>
        </w:rPr>
        <w:t xml:space="preserve">Hosting in-region gives the lowest latency for Bahraini users and keeps data in the Kingdom, which helps with local data-protection expectations. It runs roughly 8–15% above us-east pricing.</w:t>
      </w:r>
    </w:p>
    <w:p>
      <w:pPr>
        <w:pStyle w:val="ListParagraph"/>
        <w:numPr>
          <w:ilvl w:val="0"/>
          <w:numId w:val="2"/>
        </w:numPr>
        <w:spacing w:after="30" w:before="30"/>
      </w:pPr>
      <w:r>
        <w:rPr>
          <w:rFonts w:ascii="Inter" w:cs="Inter" w:eastAsia="Inter" w:hAnsi="Inter"/>
          <w:b/>
          <w:bCs/>
          <w:color w:val="1A1A2E"/>
          <w:sz w:val="20"/>
          <w:szCs w:val="20"/>
        </w:rPr>
        <w:t xml:space="preserve">Effect on the infra numbers: </w:t>
      </w:r>
      <w:r>
        <w:rPr>
          <w:rFonts w:ascii="Inter" w:cs="Inter" w:eastAsia="Inter" w:hAnsi="Inter"/>
          <w:color w:val="1A1A2E"/>
          <w:sz w:val="20"/>
          <w:szCs w:val="20"/>
        </w:rPr>
        <w:t xml:space="preserve">the ~$1,230/month launch floor becomes ~$1,380/month if hosted in me-south-1; the growth tier scales similarly. A common compromise is hosting the app in-region while keeping cheaper backups/DR in another region.</w:t>
      </w:r>
    </w:p>
    <w:p>
      <w:pPr>
        <w:pStyle w:val="ListParagraph"/>
        <w:numPr>
          <w:ilvl w:val="0"/>
          <w:numId w:val="2"/>
        </w:numPr>
        <w:spacing w:after="30" w:before="30"/>
      </w:pPr>
      <w:r>
        <w:rPr>
          <w:rFonts w:ascii="Inter" w:cs="Inter" w:eastAsia="Inter" w:hAnsi="Inter"/>
          <w:b/>
          <w:bCs/>
          <w:color w:val="1A1A2E"/>
          <w:sz w:val="20"/>
          <w:szCs w:val="20"/>
        </w:rPr>
        <w:t xml:space="preserve">PDPL: </w:t>
      </w:r>
      <w:r>
        <w:rPr>
          <w:rFonts w:ascii="Inter" w:cs="Inter" w:eastAsia="Inter" w:hAnsi="Inter"/>
          <w:color w:val="1A1A2E"/>
          <w:sz w:val="20"/>
          <w:szCs w:val="20"/>
        </w:rPr>
        <w:t xml:space="preserve">Bahrain's Personal Data Protection Law applies. The security posture already in the build spec (encryption at rest/in transit, access control, audit logs, data-subject rights) covers the substance; budget a small amount of legal review for a compliant privacy policy and consent flow.</w:t>
      </w:r>
    </w:p>
    <w:p>
      <w:pPr>
        <w:pStyle w:val="Heading2"/>
        <w:spacing w:after="90" w:before="240"/>
      </w:pPr>
      <w:r>
        <w:rPr>
          <w:rFonts w:ascii="Inter" w:cs="Inter" w:eastAsia="Inter" w:hAnsi="Inter"/>
          <w:b/>
          <w:bCs/>
          <w:color w:val="0F3460"/>
          <w:sz w:val="25"/>
          <w:szCs w:val="25"/>
        </w:rPr>
        <w:t xml:space="preserve">6.5 Other local cost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Item</w:t>
            </w:r>
          </w:p>
        </w:tc>
        <w:tc>
          <w:tcPr>
            <w:tcW w:type="dxa" w:w="46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Cost / note</w:t>
            </w:r>
          </w:p>
        </w:tc>
      </w:tr>
      <w:tr>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Commercial Registration (CR) + license</w:t>
            </w:r>
          </w:p>
        </w:tc>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one-time + annual gov fees (varies by activity)</w:t>
            </w:r>
          </w:p>
        </w:tc>
      </w:tr>
      <w:tr>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Gateway setup (CrediMax/BENEFIT)</w:t>
            </w:r>
          </w:p>
        </w:tc>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free – ~BHD 100 one-time</w:t>
            </w:r>
          </w:p>
        </w:tc>
      </w:tr>
      <w:tr>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VAT registration &amp; filing</w:t>
            </w:r>
          </w:p>
        </w:tc>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free to register; budget light accounting support</w:t>
            </w:r>
          </w:p>
        </w:tc>
      </w:tr>
      <w:tr>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Arabic + RTL in the product</w:t>
            </w:r>
          </w:p>
        </w:tc>
        <w:tc>
          <w:tcPr>
            <w:tcW w:type="dxa" w:w="46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no extra cash cost — already specified in the build/design docs; it is build time, not money</w:t>
            </w:r>
          </w:p>
        </w:tc>
      </w:tr>
      <w:tr>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Meta App Review</w:t>
            </w:r>
          </w:p>
        </w:tc>
        <w:tc>
          <w:tcPr>
            <w:tcW w:type="dxa" w:w="46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unchanged — still required, still free, still a 2–4 week lead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0"/>
              <w:left w:val="single" w:color="E94560" w:sz="22"/>
              <w:bottom w:val="single" w:color="E94560" w:sz="10"/>
              <w:right w:val="single" w:color="E94560" w:sz="1"/>
            </w:tcBorders>
            <w:shd w:fill="FCE7EC"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Bahrain bottom line</w:t>
            </w:r>
          </w:p>
          <w:p>
            <w:pPr>
              <w:spacing w:after="30" w:before="30"/>
              <w:jc w:val="both"/>
            </w:pPr>
            <w:r>
              <w:rPr>
                <w:rFonts w:ascii="Inter" w:cs="Inter" w:eastAsia="Inter" w:hAnsi="Inter"/>
                <w:color w:val="1A1A2E"/>
                <w:sz w:val="19"/>
                <w:szCs w:val="19"/>
              </w:rPr>
              <w:t xml:space="preserve">The Bahrain market makes the economics slightly better on payments (local rails ~2.5% beat Stripe), adds a modest ~10–15% to hosting if you host in-region for latency and residency, requires 10% VAT handling (a pass-through, not a cost, if priced correctly), and adds minor one-time setup (CR, gateway onboarding, VAT registration). None of it changes the headline: a near-zero build cost solo with Codex, a four-figure monthly run-rate, and a few dollars of AI per user.</w:t>
            </w:r>
          </w:p>
        </w:tc>
      </w:tr>
    </w:tbl>
    <w:p>
      <w:r>
        <w:br w:type="page"/>
      </w:r>
    </w:p>
    <w:p>
      <w:pPr>
        <w:pStyle w:val="Heading1"/>
        <w:spacing w:after="140" w:before="360"/>
      </w:pPr>
      <w:r>
        <w:rPr>
          <w:rFonts w:ascii="Inter" w:cs="Inter" w:eastAsia="Inter" w:hAnsi="Inter"/>
          <w:b/>
          <w:bCs/>
          <w:color w:val="1A1A2E"/>
          <w:sz w:val="30"/>
          <w:szCs w:val="30"/>
        </w:rPr>
        <w:t xml:space="preserve">7. Putting It Together</w:t>
      </w:r>
    </w:p>
    <w:p>
      <w:pPr>
        <w:pBdr>
          <w:bottom w:val="single" w:color="E94560" w:sz="8" w:space="1"/>
        </w:pBdr>
        <w:spacing w:after="120" w:before="0"/>
      </w:pPr>
    </w:p>
    <w:p>
      <w:pPr>
        <w:pStyle w:val="Heading2"/>
        <w:spacing w:after="90" w:before="240"/>
      </w:pPr>
      <w:r>
        <w:rPr>
          <w:rFonts w:ascii="Inter" w:cs="Inter" w:eastAsia="Inter" w:hAnsi="Inter"/>
          <w:b/>
          <w:bCs/>
          <w:color w:val="0F3460"/>
          <w:sz w:val="25"/>
          <w:szCs w:val="25"/>
        </w:rPr>
        <w:t xml:space="preserve">7.1 The complete cost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Cost bucket</w:t>
            </w:r>
          </w:p>
        </w:tc>
        <w:tc>
          <w:tcPr>
            <w:tcW w:type="dxa" w:w="25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One-time</w:t>
            </w:r>
          </w:p>
        </w:tc>
        <w:tc>
          <w:tcPr>
            <w:tcW w:type="dxa" w:w="25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Monthly</w:t>
            </w:r>
          </w:p>
        </w:tc>
      </w:tr>
      <w:tr>
        <w:tc>
          <w:tcPr>
            <w:tcW w:type="dxa" w:w="4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Build the MVP (solo, with Codex + VS Code)</w:t>
            </w:r>
          </w:p>
        </w:tc>
        <w:tc>
          <w:tcPr>
            <w:tcW w:type="dxa" w:w="25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~$8k–$10k</w:t>
            </w:r>
          </w:p>
        </w:tc>
        <w:tc>
          <w:tcPr>
            <w:tcW w:type="dxa" w:w="25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w:t>
            </w:r>
          </w:p>
        </w:tc>
      </w:tr>
      <w:tr>
        <w:tc>
          <w:tcPr>
            <w:tcW w:type="dxa" w:w="4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Coding subscription during build (in the above)</w:t>
            </w:r>
          </w:p>
        </w:tc>
        <w:tc>
          <w:tcPr>
            <w:tcW w:type="dxa" w:w="25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incl.</w:t>
            </w:r>
          </w:p>
        </w:tc>
        <w:tc>
          <w:tcPr>
            <w:tcW w:type="dxa" w:w="25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($100–$200/mo)</w:t>
            </w:r>
          </w:p>
        </w:tc>
      </w:tr>
      <w:tr>
        <w:tc>
          <w:tcPr>
            <w:tcW w:type="dxa" w:w="4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Hosting — launch (us-east) / in-region me-south-1</w:t>
            </w:r>
          </w:p>
        </w:tc>
        <w:tc>
          <w:tcPr>
            <w:tcW w:type="dxa" w:w="25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w:t>
            </w:r>
          </w:p>
        </w:tc>
        <w:tc>
          <w:tcPr>
            <w:tcW w:type="dxa" w:w="25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~$1,230 / ~$1,380</w:t>
            </w:r>
          </w:p>
        </w:tc>
      </w:tr>
      <w:tr>
        <w:tc>
          <w:tcPr>
            <w:tcW w:type="dxa" w:w="4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Hosting — growth (10k), in-region</w:t>
            </w:r>
          </w:p>
        </w:tc>
        <w:tc>
          <w:tcPr>
            <w:tcW w:type="dxa" w:w="25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w:t>
            </w:r>
          </w:p>
        </w:tc>
        <w:tc>
          <w:tcPr>
            <w:tcW w:type="dxa" w:w="25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~$3,700–$4,200</w:t>
            </w:r>
          </w:p>
        </w:tc>
      </w:tr>
      <w:tr>
        <w:tc>
          <w:tcPr>
            <w:tcW w:type="dxa" w:w="4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 agents — typical, per user</w:t>
            </w:r>
          </w:p>
        </w:tc>
        <w:tc>
          <w:tcPr>
            <w:tcW w:type="dxa" w:w="25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w:t>
            </w:r>
          </w:p>
        </w:tc>
        <w:tc>
          <w:tcPr>
            <w:tcW w:type="dxa" w:w="25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$1.18–$20.25 / user</w:t>
            </w:r>
          </w:p>
        </w:tc>
      </w:tr>
      <w:tr>
        <w:tc>
          <w:tcPr>
            <w:tcW w:type="dxa" w:w="42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Payments — local Bahrain rails (CrediMax/BENEFIT)</w:t>
            </w:r>
          </w:p>
        </w:tc>
        <w:tc>
          <w:tcPr>
            <w:tcW w:type="dxa" w:w="25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w:t>
            </w:r>
          </w:p>
        </w:tc>
        <w:tc>
          <w:tcPr>
            <w:tcW w:type="dxa" w:w="258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~2.5% of revenue, no fixed fee</w:t>
            </w:r>
          </w:p>
        </w:tc>
      </w:tr>
      <w:tr>
        <w:tc>
          <w:tcPr>
            <w:tcW w:type="dxa" w:w="42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VAT (pass-through, not a cost if priced right)</w:t>
            </w:r>
          </w:p>
        </w:tc>
        <w:tc>
          <w:tcPr>
            <w:tcW w:type="dxa" w:w="25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w:t>
            </w:r>
          </w:p>
        </w:tc>
        <w:tc>
          <w:tcPr>
            <w:tcW w:type="dxa" w:w="258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10% collected &amp; remitted</w:t>
            </w:r>
          </w:p>
        </w:tc>
      </w:tr>
    </w:tbl>
    <w:p>
      <w:pPr>
        <w:pStyle w:val="Heading2"/>
        <w:spacing w:after="90" w:before="240"/>
      </w:pPr>
      <w:r>
        <w:rPr>
          <w:rFonts w:ascii="Inter" w:cs="Inter" w:eastAsia="Inter" w:hAnsi="Inter"/>
          <w:b/>
          <w:bCs/>
          <w:color w:val="0F3460"/>
          <w:sz w:val="25"/>
          <w:szCs w:val="25"/>
        </w:rPr>
        <w:t xml:space="preserve">7.2 Worked example: 1,000 paying users</w:t>
      </w:r>
    </w:p>
    <w:p>
      <w:pPr>
        <w:spacing w:after="60" w:before="60"/>
        <w:jc w:val="both"/>
      </w:pPr>
      <w:r>
        <w:rPr>
          <w:rFonts w:ascii="Inter" w:cs="Inter" w:eastAsia="Inter" w:hAnsi="Inter"/>
          <w:color w:val="1A1A2E"/>
          <w:sz w:val="20"/>
          <w:szCs w:val="20"/>
        </w:rPr>
        <w:t xml:space="preserve">Assuming a plan mix of 45% Starter / 35% Growth / 15% Premium / 5% Enterprise, at typical (40%) AI utilization, with Bahrain local payment rails and in-region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Line</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Monthly</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Revenue (MRR), VAT-exclusive</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$111,500 (≈ BD 42,000)</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AI / agents COGS (typical usage)</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 $3,864</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Hosting &amp; infrastructure (in-region launch tier)</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 $1,380</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Local payment fees (~2.5%, no fixed fee)</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 $2,788</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Gross profit (before your time &amp; marketing)</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22C55E"/>
                <w:sz w:val="18"/>
                <w:szCs w:val="18"/>
              </w:rPr>
              <w:t xml:space="preserve">$103,468 (93% of MRR)</w:t>
            </w:r>
          </w:p>
        </w:tc>
      </w:tr>
    </w:tbl>
    <w:p>
      <w:pPr>
        <w:spacing w:after="60" w:before="40"/>
        <w:jc w:val="both"/>
      </w:pPr>
      <w:r>
        <w:rPr>
          <w:rFonts w:ascii="Inter" w:cs="Inter" w:eastAsia="Inter" w:hAnsi="Inter"/>
          <w:color w:val="1A1A2E"/>
          <w:sz w:val="20"/>
          <w:szCs w:val="20"/>
        </w:rPr>
        <w:t xml:space="preserve">VAT (10%) is collected on top of these prices and remitted to the NBR — a pass-through, not part of this profit line, provided you price VAT-exclusive. Local Bahrain rails make the fee line slightly cheaper than the Stripe-based figure shown earlier in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0"/>
              <w:left w:val="single" w:color="E94560" w:sz="22"/>
              <w:bottom w:val="single" w:color="E94560" w:sz="10"/>
              <w:right w:val="single" w:color="E94560" w:sz="1"/>
            </w:tcBorders>
            <w:shd w:fill="FCE7EC" w:val="clear"/>
            <w:tcMar>
              <w:top w:type="dxa" w:w="140"/>
              <w:left w:type="dxa" w:w="240"/>
              <w:bottom w:type="dxa" w:w="140"/>
              <w:right w:type="dxa" w:w="240"/>
            </w:tcMar>
          </w:tcPr>
          <w:p>
            <w:pPr>
              <w:spacing w:after="60" w:before="0"/>
            </w:pPr>
            <w:r>
              <w:rPr>
                <w:rFonts w:ascii="Inter" w:cs="Inter" w:eastAsia="Inter" w:hAnsi="Inter"/>
                <w:b/>
                <w:bCs/>
                <w:color w:val="1A1A2E"/>
                <w:sz w:val="20"/>
                <w:szCs w:val="20"/>
              </w:rPr>
              <w:t xml:space="preserve">Headline takeaway</w:t>
            </w:r>
          </w:p>
          <w:p>
            <w:pPr>
              <w:spacing w:after="30" w:before="30"/>
              <w:jc w:val="both"/>
            </w:pPr>
            <w:r>
              <w:rPr>
                <w:rFonts w:ascii="Inter" w:cs="Inter" w:eastAsia="Inter" w:hAnsi="Inter"/>
                <w:color w:val="1A1A2E"/>
                <w:sz w:val="19"/>
                <w:szCs w:val="19"/>
              </w:rPr>
              <w:t xml:space="preserve">Direct cost of goods — AI + hosting + local payments — runs about 7% of revenue at 1,000 users with typical usage. The product is structurally high-margin. Your real P&amp;L question is not COGS; it is customer acquisition cost and your own time. The technology bill (the thing you asked me to price) is the easy part.</w:t>
            </w:r>
          </w:p>
        </w:tc>
      </w:tr>
    </w:tbl>
    <w:p>
      <w:pPr>
        <w:pStyle w:val="Heading2"/>
        <w:spacing w:after="90" w:before="240"/>
      </w:pPr>
      <w:r>
        <w:rPr>
          <w:rFonts w:ascii="Inter" w:cs="Inter" w:eastAsia="Inter" w:hAnsi="Inter"/>
          <w:b/>
          <w:bCs/>
          <w:color w:val="0F3460"/>
          <w:sz w:val="25"/>
          <w:szCs w:val="25"/>
        </w:rPr>
        <w:t xml:space="preserve">7.3 First-year cash view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Period</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spacing w:after="0" w:before="0"/>
            </w:pPr>
            <w:r>
              <w:rPr>
                <w:rFonts w:ascii="Inter" w:cs="Inter" w:eastAsia="Inter" w:hAnsi="Inter"/>
                <w:b/>
                <w:bCs/>
                <w:color w:val="FFFFFF"/>
                <w:sz w:val="18"/>
                <w:szCs w:val="18"/>
              </w:rPr>
              <w:t xml:space="preserve">Cumulative cash cost</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Build (months 0–9: coding sub + dev AWS + AI testing + tools)</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~$4k–$8k</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Optional pre-launch security audit</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$0–$8,000</w:t>
            </w:r>
          </w:p>
        </w:tc>
      </w:tr>
      <w:tr>
        <w:tc>
          <w:tcPr>
            <w:tcW w:type="dxa" w:w="540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Post-launch run (infra + tooling, months 10–12)</w:t>
            </w:r>
          </w:p>
        </w:tc>
        <w:tc>
          <w:tcPr>
            <w:tcW w:type="dxa" w:w="3960"/>
            <w:tcBorders>
              <w:top w:val="single" w:color="D8DEE9" w:sz="1"/>
              <w:left w:val="single" w:color="D8DEE9" w:sz="1"/>
              <w:bottom w:val="single" w:color="D8DEE9" w:sz="1"/>
              <w:right w:val="single" w:color="D8DEE9" w:sz="1"/>
            </w:tcBorders>
            <w:shd w:fill="EEF2F7" w:val="clear"/>
            <w:tcMar>
              <w:top w:type="dxa" w:w="80"/>
              <w:left w:type="dxa" w:w="120"/>
              <w:bottom w:type="dxa" w:w="80"/>
              <w:right w:type="dxa" w:w="120"/>
            </w:tcMar>
            <w:vAlign w:val="center"/>
          </w:tcPr>
          <w:p>
            <w:pPr>
              <w:spacing w:after="0" w:before="0"/>
              <w:jc w:val="left"/>
            </w:pPr>
            <w:r>
              <w:rPr>
                <w:rFonts w:ascii="Inter" w:cs="Inter" w:eastAsia="Inter" w:hAnsi="Inter"/>
                <w:b w:val="false"/>
                <w:bCs w:val="false"/>
                <w:color w:val="1A1A2E"/>
                <w:sz w:val="18"/>
                <w:szCs w:val="18"/>
              </w:rPr>
              <w:t xml:space="preserve">~$4k–$15k total</w:t>
            </w:r>
          </w:p>
        </w:tc>
      </w:tr>
      <w:tr>
        <w:tc>
          <w:tcPr>
            <w:tcW w:type="dxa" w:w="540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1A1A2E"/>
                <w:sz w:val="18"/>
                <w:szCs w:val="18"/>
              </w:rPr>
              <w:t xml:space="preserve">Year-1 total cash (excl. marketing / CAC)</w:t>
            </w:r>
          </w:p>
        </w:tc>
        <w:tc>
          <w:tcPr>
            <w:tcW w:type="dxa" w:w="3960"/>
            <w:tcBorders>
              <w:top w:val="single" w:color="D8DEE9" w:sz="1"/>
              <w:left w:val="single" w:color="D8DEE9" w:sz="1"/>
              <w:bottom w:val="single" w:color="D8DEE9" w:sz="1"/>
              <w:right w:val="single" w:color="D8DEE9" w:sz="1"/>
            </w:tcBorders>
            <w:shd w:fill="FFFFFF" w:val="clear"/>
            <w:tcMar>
              <w:top w:type="dxa" w:w="80"/>
              <w:left w:type="dxa" w:w="120"/>
              <w:bottom w:type="dxa" w:w="80"/>
              <w:right w:type="dxa" w:w="120"/>
            </w:tcMar>
            <w:vAlign w:val="center"/>
          </w:tcPr>
          <w:p>
            <w:pPr>
              <w:spacing w:after="0" w:before="0"/>
              <w:jc w:val="left"/>
            </w:pPr>
            <w:r>
              <w:rPr>
                <w:rFonts w:ascii="Inter" w:cs="Inter" w:eastAsia="Inter" w:hAnsi="Inter"/>
                <w:b/>
                <w:bCs/>
                <w:color w:val="E94560"/>
                <w:sz w:val="18"/>
                <w:szCs w:val="18"/>
              </w:rPr>
              <w:t xml:space="preserve">~$10k–$30k</w:t>
            </w:r>
          </w:p>
        </w:tc>
      </w:tr>
    </w:tbl>
    <w:p>
      <w:pPr>
        <w:spacing w:after="60" w:before="40"/>
        <w:jc w:val="both"/>
      </w:pPr>
      <w:r>
        <w:rPr>
          <w:rFonts w:ascii="Inter" w:cs="Inter" w:eastAsia="Inter" w:hAnsi="Inter"/>
          <w:color w:val="1A1A2E"/>
          <w:sz w:val="20"/>
          <w:szCs w:val="20"/>
        </w:rPr>
        <w:t xml:space="preserve">Because you're building it yourself, the entire first-year cash cost — build plus a year of hosting — lands in roughly the range a single month of a hired team would have cost. The dominant remaining costs are your time and, once you launch, customer-acquisition spend.</w:t>
      </w:r>
    </w:p>
    <w:p>
      <w:pPr>
        <w:pStyle w:val="Heading2"/>
        <w:spacing w:after="90" w:before="240"/>
      </w:pPr>
      <w:r>
        <w:rPr>
          <w:rFonts w:ascii="Inter" w:cs="Inter" w:eastAsia="Inter" w:hAnsi="Inter"/>
          <w:b/>
          <w:bCs/>
          <w:color w:val="0F3460"/>
          <w:sz w:val="25"/>
          <w:szCs w:val="25"/>
        </w:rPr>
        <w:t xml:space="preserve">7.4 How to drive the numbers down</w:t>
      </w:r>
    </w:p>
    <w:p>
      <w:pPr>
        <w:pStyle w:val="ListParagraph"/>
        <w:numPr>
          <w:ilvl w:val="0"/>
          <w:numId w:val="3"/>
        </w:numPr>
        <w:spacing w:after="30" w:before="30"/>
      </w:pPr>
      <w:r>
        <w:rPr>
          <w:rFonts w:ascii="Inter" w:cs="Inter" w:eastAsia="Inter" w:hAnsi="Inter"/>
          <w:color w:val="1A1A2E"/>
          <w:sz w:val="20"/>
          <w:szCs w:val="20"/>
        </w:rPr>
        <w:t xml:space="preserve">Route routine copy to the workhorse model; reserve premium models for strategy only — the single biggest AI lever.</w:t>
      </w:r>
    </w:p>
    <w:p>
      <w:pPr>
        <w:pStyle w:val="ListParagraph"/>
        <w:numPr>
          <w:ilvl w:val="0"/>
          <w:numId w:val="3"/>
        </w:numPr>
        <w:spacing w:after="30" w:before="30"/>
      </w:pPr>
      <w:r>
        <w:rPr>
          <w:rFonts w:ascii="Inter" w:cs="Inter" w:eastAsia="Inter" w:hAnsi="Inter"/>
          <w:color w:val="1A1A2E"/>
          <w:sz w:val="20"/>
          <w:szCs w:val="20"/>
        </w:rPr>
        <w:t xml:space="preserve">Turn on prompt caching for the repeated Vault/system context (~90% input saving).</w:t>
      </w:r>
    </w:p>
    <w:p>
      <w:pPr>
        <w:pStyle w:val="ListParagraph"/>
        <w:numPr>
          <w:ilvl w:val="0"/>
          <w:numId w:val="3"/>
        </w:numPr>
        <w:spacing w:after="30" w:before="30"/>
      </w:pPr>
      <w:r>
        <w:rPr>
          <w:rFonts w:ascii="Inter" w:cs="Inter" w:eastAsia="Inter" w:hAnsi="Inter"/>
          <w:color w:val="1A1A2E"/>
          <w:sz w:val="20"/>
          <w:szCs w:val="20"/>
        </w:rPr>
        <w:t xml:space="preserve">Run reports, bulk planning, and re-embedding through the Batch API (50% off).</w:t>
      </w:r>
    </w:p>
    <w:p>
      <w:pPr>
        <w:pStyle w:val="ListParagraph"/>
        <w:numPr>
          <w:ilvl w:val="0"/>
          <w:numId w:val="3"/>
        </w:numPr>
        <w:spacing w:after="30" w:before="30"/>
      </w:pPr>
      <w:r>
        <w:rPr>
          <w:rFonts w:ascii="Inter" w:cs="Inter" w:eastAsia="Inter" w:hAnsi="Inter"/>
          <w:color w:val="1A1A2E"/>
          <w:sz w:val="20"/>
          <w:szCs w:val="20"/>
        </w:rPr>
        <w:t xml:space="preserve">Cap 'Unlimited' plans at fair-use ceilings so worst-case AI cost stays bounded.</w:t>
      </w:r>
    </w:p>
    <w:p>
      <w:pPr>
        <w:pStyle w:val="ListParagraph"/>
        <w:numPr>
          <w:ilvl w:val="0"/>
          <w:numId w:val="3"/>
        </w:numPr>
        <w:spacing w:after="30" w:before="30"/>
      </w:pPr>
      <w:r>
        <w:rPr>
          <w:rFonts w:ascii="Inter" w:cs="Inter" w:eastAsia="Inter" w:hAnsi="Inter"/>
          <w:color w:val="1A1A2E"/>
          <w:sz w:val="20"/>
          <w:szCs w:val="20"/>
        </w:rPr>
        <w:t xml:space="preserve">Right-size and cache media aggressively (WebP/AVIF) to control CloudFront egress — the biggest infra line at scale.</w:t>
      </w:r>
    </w:p>
    <w:p>
      <w:pPr>
        <w:pStyle w:val="ListParagraph"/>
        <w:numPr>
          <w:ilvl w:val="0"/>
          <w:numId w:val="3"/>
        </w:numPr>
        <w:spacing w:after="30" w:before="30"/>
      </w:pPr>
      <w:r>
        <w:rPr>
          <w:rFonts w:ascii="Inter" w:cs="Inter" w:eastAsia="Inter" w:hAnsi="Inter"/>
          <w:color w:val="1A1A2E"/>
          <w:sz w:val="20"/>
          <w:szCs w:val="20"/>
        </w:rPr>
        <w:t xml:space="preserve">Buy AWS Savings Plans on the steady baseline once usage stabilizes (30–55% off compute/DB).</w:t>
      </w:r>
    </w:p>
    <w:p>
      <w:pPr>
        <w:pStyle w:val="ListParagraph"/>
        <w:numPr>
          <w:ilvl w:val="0"/>
          <w:numId w:val="3"/>
        </w:numPr>
        <w:spacing w:after="30" w:before="30"/>
      </w:pPr>
      <w:r>
        <w:rPr>
          <w:rFonts w:ascii="Inter" w:cs="Inter" w:eastAsia="Inter" w:hAnsi="Inter"/>
          <w:color w:val="1A1A2E"/>
          <w:sz w:val="20"/>
          <w:szCs w:val="20"/>
        </w:rPr>
        <w:t xml:space="preserve">Lean on the coding subscription, not metered coding API, while building — a flat $100–$200/mo plan is far cheaper than per-token agentic coding at this volume.</w:t>
      </w:r>
    </w:p>
    <w:p>
      <w:pPr>
        <w:pStyle w:val="ListParagraph"/>
        <w:numPr>
          <w:ilvl w:val="0"/>
          <w:numId w:val="3"/>
        </w:numPr>
        <w:spacing w:after="30" w:before="30"/>
      </w:pPr>
      <w:r>
        <w:rPr>
          <w:rFonts w:ascii="Inter" w:cs="Inter" w:eastAsia="Inter" w:hAnsi="Inter"/>
          <w:color w:val="1A1A2E"/>
          <w:sz w:val="20"/>
          <w:szCs w:val="20"/>
        </w:rPr>
        <w:t xml:space="preserve">Run Bahrain revenue through local rails (CrediMax/BENEFIT) rather than Stripe — ~2.5% with no fixed fee beats 2.9% + $0.30, and it's the locally expected payment method.</w:t>
      </w:r>
    </w:p>
    <w:p>
      <w:pPr>
        <w:spacing w:after="60" w:before="120"/>
      </w:pPr>
      <w:r>
        <w:t xml:space="preserve"/>
      </w:r>
    </w:p>
    <w:p>
      <w:pPr>
        <w:pBdr>
          <w:bottom w:val="single" w:color="E94560" w:sz="8" w:space="1"/>
        </w:pBdr>
        <w:spacing w:after="120" w:before="0"/>
      </w:pP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0"/>
              <w:left w:val="single" w:color="E94560" w:sz="22"/>
              <w:bottom w:val="single" w:color="E94560" w:sz="10"/>
              <w:right w:val="single" w:color="E94560" w:sz="1"/>
            </w:tcBorders>
            <w:shd w:fill="1A1A2E" w:val="clear"/>
            <w:tcMar>
              <w:top w:type="dxa" w:w="140"/>
              <w:left w:type="dxa" w:w="240"/>
              <w:bottom w:type="dxa" w:w="140"/>
              <w:right w:type="dxa" w:w="240"/>
            </w:tcMar>
          </w:tcPr>
          <w:p>
            <w:pPr>
              <w:spacing w:after="30" w:before="30"/>
              <w:jc w:val="both"/>
            </w:pPr>
            <w:r>
              <w:rPr>
                <w:rFonts w:ascii="Inter" w:cs="Inter" w:eastAsia="Inter" w:hAnsi="Inter"/>
                <w:color w:val="1A1A2E"/>
                <w:sz w:val="19"/>
                <w:szCs w:val="19"/>
              </w:rPr>
              <w:t xml:space="preserve">Bottom line for Bahrain: building MARKOS AI yourself with Codex + VS Code costs roughly $8k–$10k to build, then about $1,380/month to host in-region at launch (rising toward ~$4,200/month at 10,000-user scale), with AI costing only a few dollars per active user and local payment fees around 2.5%. Add 10% VAT handling (a pass-through if priced correctly) and minor one-time local setup (CR, gateway onboarding, VAT registration). You've removed the single largest cost in a software product — the team — and replaced it with your time. The economics are exceptional; the constraint is your build time and the discipline to direct and review Codex carefully on the risky parts (payments, Instagram publishing, security, tenant isolation).</w:t>
            </w:r>
          </w:p>
        </w:tc>
      </w:tr>
    </w:tbl>
    <w:p>
      <w:pPr>
        <w:spacing w:after="40" w:before="120"/>
        <w:jc w:val="center"/>
      </w:pPr>
      <w:r>
        <w:rPr>
          <w:rFonts w:ascii="Inter" w:cs="Inter" w:eastAsia="Inter" w:hAnsi="Inter"/>
          <w:color w:val="5A6072"/>
          <w:sz w:val="18"/>
          <w:szCs w:val="18"/>
        </w:rPr>
        <w:t xml:space="preserve">MARKOS AI — Cost Model &amp; Budget (Bahrain)  ·  Pricing current June 2026  ·  Confidential</w:t>
      </w:r>
    </w:p>
    <w:p>
      <w:pPr>
        <w:spacing w:after="0" w:before="0"/>
        <w:jc w:val="center"/>
      </w:pPr>
      <w:r>
        <w:rPr>
          <w:rFonts w:ascii="Inter" w:cs="Inter" w:eastAsia="Inter" w:hAnsi="Inter"/>
          <w:i/>
          <w:iCs/>
          <w:color w:val="5A6072"/>
          <w:sz w:val="16"/>
          <w:szCs w:val="16"/>
        </w:rPr>
        <w:t xml:space="preserve">All figures are estimates from published rates; verify current pricing, local fees, and VAT obligations before committing budget.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4" w:space="4"/>
      </w:pBdr>
      <w:tabs>
        <w:tab w:val="right" w:pos="9360"/>
      </w:tabs>
      <w:spacing w:after="0" w:before="100"/>
    </w:pPr>
    <w:r>
      <w:rPr>
        <w:rFonts w:ascii="Inter" w:cs="Inter" w:eastAsia="Inter" w:hAnsi="Inter"/>
        <w:color w:val="5A6072"/>
        <w:sz w:val="15"/>
        <w:szCs w:val="15"/>
      </w:rPr>
      <w:t xml:space="preserve">MARKOS AI — Confidential — Cost Model v1.0</w:t>
    </w:r>
    <w:r>
      <w:rPr>
        <w:rFonts w:ascii="Inter" w:cs="Inter" w:eastAsia="Inter" w:hAnsi="Inter"/>
        <w:sz w:val="15"/>
        <w:szCs w:val="15"/>
      </w:rPr>
      <w:t xml:space="preserve">	</w:t>
    </w:r>
    <w:r>
      <w:rPr>
        <w:rFonts w:ascii="Inter" w:cs="Inter" w:eastAsia="Inter" w:hAnsi="Inter"/>
        <w:color w:val="5A6072"/>
        <w:sz w:val="15"/>
        <w:szCs w:val="15"/>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space="4"/>
      </w:pBdr>
      <w:spacing w:after="100" w:before="0"/>
    </w:pPr>
    <w:r>
      <w:rPr>
        <w:rFonts w:ascii="Inter" w:cs="Inter" w:eastAsia="Inter" w:hAnsi="Inter"/>
        <w:b/>
        <w:bCs/>
        <w:color w:val="1A1A2E"/>
        <w:sz w:val="16"/>
        <w:szCs w:val="16"/>
      </w:rPr>
      <w:t xml:space="preserve">MARKOS AI  </w:t>
    </w:r>
    <w:r>
      <w:rPr>
        <w:rFonts w:ascii="Inter" w:cs="Inter" w:eastAsia="Inter" w:hAnsi="Inter"/>
        <w:color w:val="5A6072"/>
        <w:sz w:val="16"/>
        <w:szCs w:val="16"/>
      </w:rPr>
      <w:t xml:space="preserve">  |  Cost Model &amp; Budget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Inter" w:cs="Inter" w:eastAsia="Inter" w:hAnsi="Inter"/>
      <w:b/>
      <w:bCs/>
      <w:color w:val="1A1A2E"/>
      <w:sz w:val="30"/>
      <w:szCs w:val="30"/>
    </w:rPr>
  </w:style>
  <w:style w:type="paragraph" w:styleId="Heading2">
    <w:name w:val="Heading 2"/>
    <w:basedOn w:val="Normal"/>
    <w:next w:val="Normal"/>
    <w:qFormat/>
    <w:pPr>
      <w:spacing w:after="90" w:before="240"/>
      <w:outlineLvl w:val="1"/>
    </w:pPr>
    <w:rPr>
      <w:rFonts w:ascii="Inter" w:cs="Inter" w:eastAsia="Inter" w:hAnsi="Inter"/>
      <w:b/>
      <w:bCs/>
      <w:color w:val="0F3460"/>
      <w:sz w:val="25"/>
      <w:szCs w:val="25"/>
    </w:rPr>
  </w:style>
  <w:style w:type="paragraph" w:styleId="Heading3">
    <w:name w:val="Heading 3"/>
    <w:basedOn w:val="Normal"/>
    <w:next w:val="Normal"/>
    <w:qFormat/>
    <w:pPr>
      <w:spacing w:after="70" w:before="180"/>
      <w:outlineLvl w:val="2"/>
    </w:pPr>
    <w:rPr>
      <w:rFonts w:ascii="Inter" w:cs="Inter" w:eastAsia="Inter" w:hAnsi="Inter"/>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2026-06-09T06:00:10.490Z</dcterms:created>
  <dcterms:modified xsi:type="dcterms:W3CDTF">2026-06-09T06:00:10.491Z</dcterms:modified>
</cp:coreProperties>
</file>

<file path=docProps/custom.xml><?xml version="1.0" encoding="utf-8"?>
<Properties xmlns="http://schemas.openxmlformats.org/officeDocument/2006/custom-properties" xmlns:vt="http://schemas.openxmlformats.org/officeDocument/2006/docPropsVTypes"/>
</file>