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left"/>
      </w:pPr>
      <w:r>
        <w:rPr>
          <w:rFonts w:ascii="Times New Roman" w:hAnsi="Times New Roman"/>
          <w:b/>
          <w:sz w:val="28"/>
        </w:rPr>
        <w:t>4.5 Pengujian Sistem</w:t>
      </w:r>
    </w:p>
    <w:p>
      <w:pPr>
        <w:spacing w:before="0" w:after="120" w:line="360" w:lineRule="auto"/>
        <w:jc w:val="both"/>
      </w:pPr>
      <w:r>
        <w:rPr>
          <w:rFonts w:ascii="Times New Roman" w:hAnsi="Times New Roman"/>
          <w:b w:val="0"/>
          <w:i w:val="0"/>
          <w:sz w:val="24"/>
        </w:rPr>
        <w:t>Pengujian sistem merupakan tahapan krusial dalam siklus pengembangan perangkat lunak untuk memastikan bahwa seluruh fungsi, alur bisnis, navigasi, dan antarmuka sistem informasi yang telah dibangun dapat beroperasi dengan baik sesuai dengan kebutuhan fungsional yang telah dirancang sebelumnya. Melalui tahapan pengujian ini, kesalahan input, logika pemrosesan data, integrasi antarmuka, serta penanganan kondisi tak terduga (error handling) dapat dideteksi dan disempurnakan sebelum sistem dioperasikan secara penuh di DPPKB Kecamatan Wundulako.</w:t>
      </w:r>
    </w:p>
    <w:p>
      <w:pPr>
        <w:spacing w:before="240" w:after="120"/>
        <w:jc w:val="left"/>
      </w:pPr>
      <w:r>
        <w:rPr>
          <w:rFonts w:ascii="Times New Roman" w:hAnsi="Times New Roman"/>
          <w:b/>
          <w:sz w:val="24"/>
        </w:rPr>
        <w:t>4.5.1 Metode Pengujian (Black Box Testing)</w:t>
      </w:r>
    </w:p>
    <w:p>
      <w:pPr>
        <w:spacing w:before="0" w:after="120" w:line="360" w:lineRule="auto"/>
        <w:jc w:val="both"/>
      </w:pPr>
      <w:r>
        <w:rPr>
          <w:rFonts w:ascii="Times New Roman" w:hAnsi="Times New Roman"/>
          <w:b w:val="0"/>
          <w:i w:val="0"/>
          <w:sz w:val="24"/>
        </w:rPr>
        <w:t>Metode pengujian yang diterapkan pada penelitian ini adalah Black Box Testing. Pengujian kotak hitam (Black Box Testing) berfokus pada fungsionalitas sistem dari sudut pandang pengguna akhir (end-user) tanpa perlu melihat atau menguji baris kode program internal secara langsung. Teknik ini mengevaluasi apakah masukan (input) dari pengguna melalui antarmuka sistem menghasilkan respons, tampilan, dan keluaran (output) yang sesuai dengan spesifikasi fungsional yang diharapkan.</w:t>
      </w:r>
    </w:p>
    <w:p>
      <w:pPr>
        <w:spacing w:before="0" w:after="120" w:line="360" w:lineRule="auto"/>
        <w:jc w:val="both"/>
      </w:pPr>
      <w:r>
        <w:rPr>
          <w:rFonts w:ascii="Times New Roman" w:hAnsi="Times New Roman"/>
          <w:b w:val="0"/>
          <w:i w:val="0"/>
          <w:sz w:val="24"/>
        </w:rPr>
        <w:t>Pengujian fungsionalitas dan tombol-tombol pada Sistem Informasi Pelayanan Keluarga Berencana (KB) DPPKB Kecamatan Wundulako dilakukan pada 10 (sepuluh) halaman dan modul antarmuka utama, yang mencakup hak akses Administrator, Bidan, Pimpinan, dan Masyarakat umum (calon akseptor). Format pengujian disajikan dalam bentuk tabel yang memuat kolom nomor, skenario pengujian (aksi tombol/input), hasil yang diharapkan, hasil pengamatan aktual, serta status keterangan validitas pengujian.</w:t>
      </w:r>
    </w:p>
    <w:p>
      <w:pPr>
        <w:spacing w:before="240" w:after="120"/>
        <w:jc w:val="left"/>
      </w:pPr>
      <w:r>
        <w:rPr>
          <w:rFonts w:ascii="Times New Roman" w:hAnsi="Times New Roman"/>
          <w:b/>
          <w:sz w:val="24"/>
        </w:rPr>
        <w:t>4.5.2 Pelaksanaan Pengujian Sistem</w:t>
      </w:r>
    </w:p>
    <w:p>
      <w:pPr>
        <w:spacing w:before="0" w:after="120" w:line="360" w:lineRule="auto"/>
        <w:jc w:val="both"/>
      </w:pPr>
      <w:r>
        <w:rPr>
          <w:rFonts w:ascii="Times New Roman" w:hAnsi="Times New Roman"/>
          <w:b w:val="0"/>
          <w:i w:val="0"/>
          <w:sz w:val="24"/>
        </w:rPr>
        <w:t>Pelaksanaan pengujian fungsionalitas tombol dan antarmuka sistem informasi pada masing-masing modul disajikan pada tabel-tabel pengujian berikut:</w:t>
      </w:r>
    </w:p>
    <w:p>
      <w:pPr>
        <w:spacing w:before="120" w:after="80" w:line="360" w:lineRule="auto"/>
        <w:jc w:val="both"/>
      </w:pPr>
      <w:r>
        <w:rPr>
          <w:rFonts w:ascii="Times New Roman" w:hAnsi="Times New Roman"/>
          <w:b w:val="0"/>
          <w:i w:val="0"/>
          <w:sz w:val="24"/>
        </w:rPr>
        <w:t>Pengujian halaman login dilakukan untuk memverifikasi proses autentikasi pengguna, pembatasan hak akses berdasar peran (role), serta keamanan sesi sistem.</w:t>
      </w:r>
    </w:p>
    <w:p>
      <w:pPr>
        <w:spacing w:before="240" w:after="120" w:line="240" w:lineRule="auto"/>
        <w:jc w:val="center"/>
      </w:pPr>
      <w:r>
        <w:rPr>
          <w:rFonts w:ascii="Times New Roman" w:hAnsi="Times New Roman"/>
          <w:b/>
          <w:sz w:val="24"/>
        </w:rPr>
        <w:t>Tabel 4. 13 Pengujian Halaman Login</w:t>
      </w:r>
    </w:p>
    <w:tbl>
      <w:tblPr>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567"/>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No</w:t>
            </w:r>
          </w:p>
        </w:tc>
        <w:tc>
          <w:tcPr>
            <w:tcW w:type="dxa" w:w="181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Skenario Pengujian</w:t>
            </w:r>
          </w:p>
        </w:tc>
        <w:tc>
          <w:tcPr>
            <w:tcW w:type="dxa" w:w="2438"/>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Hasil yang diharapkan</w:t>
            </w:r>
          </w:p>
        </w:tc>
        <w:tc>
          <w:tcPr>
            <w:tcW w:type="dxa" w:w="215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Pengamatan</w:t>
            </w:r>
          </w:p>
        </w:tc>
        <w:tc>
          <w:tcPr>
            <w:tcW w:type="dxa" w:w="96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Keterangan</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1</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Mengosongkan kolom username dan password lalu klik tombol Masuk</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proses login dan menampilkan pesan peringatan bahwa kolom tidak boleh kosong.</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proses login dan menampilkan pesan peringatan bahwa kolom tidak boleh kosong.</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2</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Memasukkan username dan/atau password yang salah lalu klik tombol Masuk</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proses autentikasi dan menampilkan notifikasi kesalahan kredensial.</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proses autentikasi dan menampilkan notifikasi kesalahan kredensial.</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3</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Memasukkan username dan password valid sesuai hak akses lalu klik tombol Masuk</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berhasil melakukan autentikasi dan mengarahkan pengguna ke halaman Dashboard utama sesuai hak aksesnya.</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berhasil melakukan autentikasi dan mengarahkan pengguna ke halaman Dashboard utama sesuai hak aksesnya.</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4</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Mengakses URL internal (misal: /dashboard atau /pengguna) tanpa login terlebih dahulu</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akses langsung dan secara otomatis mengalihkan (redirect) halaman ke form login.</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akses langsung dan secara otomatis mengalihkan (redirect) halaman ke form login.</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5</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Keluar (Logout) pada menu profil</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menghapus seluruh sesi autentikasi pengguna dan mengembalikan tampilan ke halaman login.</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menghapus seluruh sesi autentikasi pengguna dan mengembalikan tampilan ke halaman login.</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bl>
    <w:p>
      <w:pPr>
        <w:spacing w:before="0" w:after="120"/>
      </w:pPr>
    </w:p>
    <w:p>
      <w:pPr>
        <w:spacing w:before="120" w:after="80" w:line="360" w:lineRule="auto"/>
        <w:jc w:val="both"/>
      </w:pPr>
      <w:r>
        <w:rPr>
          <w:rFonts w:ascii="Times New Roman" w:hAnsi="Times New Roman"/>
          <w:b w:val="0"/>
          <w:i w:val="0"/>
          <w:sz w:val="24"/>
        </w:rPr>
        <w:t>Pengujian halaman registrasi mandiri dilakukan untuk memverifikasi fungsionalitas pendaftaran mandiri oleh calon akseptor dari portal publik tanpa perlu login.</w:t>
      </w:r>
    </w:p>
    <w:p>
      <w:pPr>
        <w:spacing w:before="240" w:after="120" w:line="240" w:lineRule="auto"/>
        <w:jc w:val="center"/>
      </w:pPr>
      <w:r>
        <w:rPr>
          <w:rFonts w:ascii="Times New Roman" w:hAnsi="Times New Roman"/>
          <w:b/>
          <w:sz w:val="24"/>
        </w:rPr>
        <w:t>Tabel 4. 14 Pengujian Halaman Registrasi Mandiri Akseptor</w:t>
      </w:r>
    </w:p>
    <w:tbl>
      <w:tblPr>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567"/>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No</w:t>
            </w:r>
          </w:p>
        </w:tc>
        <w:tc>
          <w:tcPr>
            <w:tcW w:type="dxa" w:w="181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Skenario Pengujian</w:t>
            </w:r>
          </w:p>
        </w:tc>
        <w:tc>
          <w:tcPr>
            <w:tcW w:type="dxa" w:w="2438"/>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Hasil yang diharapkan</w:t>
            </w:r>
          </w:p>
        </w:tc>
        <w:tc>
          <w:tcPr>
            <w:tcW w:type="dxa" w:w="215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Pengamatan</w:t>
            </w:r>
          </w:p>
        </w:tc>
        <w:tc>
          <w:tcPr>
            <w:tcW w:type="dxa" w:w="96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Keterangan</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1</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Mengakses URL pendaftaran mandiri (/registrasi)</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formulir registrasi mandiri dan kolom pengecekan NIK.</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formulir registrasi mandiri dan kolom pengecekan NIK.</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2</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Memasukkan NIK kurang dari 16 digit lalu klik tombol Cek NIK</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pemrosesan dan menampilkan pesan peringatan 'NIK harus 16 digit angka'.</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pemrosesan dan menampilkan pesan peringatan 'NIK harus 16 digit angka'.</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3</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Memasukkan NIK 16 digit yang belum terdaftar lalu klik tombol Cek NIK</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mengidentifikasi sebagai akseptor baru dan menampilkan form pendaftaran lengkap serta pemilihan jadwal.</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mengidentifikasi sebagai akseptor baru dan menampilkan form pendaftaran lengkap serta pemilihan jadwal.</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4</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Memasukkan NIK 16 digit yang sudah terdaftar (akseptor lama) lalu klik tombol Cek NIK</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memuat otomatis identitas akseptor dari basis data dan menampilkan pilihan jadwal layanan kunjungan ulang.</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memuat otomatis identitas akseptor dari basis data dan menampilkan pilihan jadwal layanan kunjungan ulang.</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5</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Memilih tanggal dan sesi jadwal pelayanan KB pada faskes</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informasi ketersediaan sisa kuota antrean secara real-time.</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informasi ketersediaan sisa kuota antrean secara real-time.</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6</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Mengosongkan kolom wajib pada formulir lalu klik tombol Ambil Antrean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penyimpanan dan menandai kolom wajib yang kosong dengan pesan error.</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penyimpanan dan menandai kolom wajib yang kosong dengan pesan error.</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7</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Mengisi seluruh formulir pendaftaran dengan lengkap dan valid lalu klik tombol Ambil Antrean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registrasi ke basis data, menghasilkan nomor tiket antrean urut, dan membuka halaman sukses.</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registrasi ke basis data, menghasilkan nomor tiket antrean urut, dan membuka halaman sukses.</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8</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Unduh Tiket Antrean (PDF)</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men-generate dan mengunduh berkas tiket antrean resmi dalam format PDF yang siap dicetak.</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men-generate dan mengunduh berkas tiket antrean resmi dalam format PDF yang siap dicetak.</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bl>
    <w:p>
      <w:pPr>
        <w:spacing w:before="0" w:after="120"/>
      </w:pPr>
    </w:p>
    <w:p>
      <w:pPr>
        <w:spacing w:before="120" w:after="80" w:line="360" w:lineRule="auto"/>
        <w:jc w:val="both"/>
      </w:pPr>
      <w:r>
        <w:rPr>
          <w:rFonts w:ascii="Times New Roman" w:hAnsi="Times New Roman"/>
          <w:b w:val="0"/>
          <w:i w:val="0"/>
          <w:sz w:val="24"/>
        </w:rPr>
        <w:t>Pengujian halaman manajemen user dilakukan oleh Administrator untuk memverifikasi pengelolaan akun petugas (CRUD, pencarian, dan hak akses).</w:t>
      </w:r>
    </w:p>
    <w:p>
      <w:pPr>
        <w:spacing w:before="240" w:after="120" w:line="240" w:lineRule="auto"/>
        <w:jc w:val="center"/>
      </w:pPr>
      <w:r>
        <w:rPr>
          <w:rFonts w:ascii="Times New Roman" w:hAnsi="Times New Roman"/>
          <w:b/>
          <w:sz w:val="24"/>
        </w:rPr>
        <w:t>Tabel 4. 15 Pengujian Halaman Manajemen User</w:t>
      </w:r>
    </w:p>
    <w:tbl>
      <w:tblPr>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567"/>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No</w:t>
            </w:r>
          </w:p>
        </w:tc>
        <w:tc>
          <w:tcPr>
            <w:tcW w:type="dxa" w:w="181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Skenario Pengujian</w:t>
            </w:r>
          </w:p>
        </w:tc>
        <w:tc>
          <w:tcPr>
            <w:tcW w:type="dxa" w:w="2438"/>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Hasil yang diharapkan</w:t>
            </w:r>
          </w:p>
        </w:tc>
        <w:tc>
          <w:tcPr>
            <w:tcW w:type="dxa" w:w="215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Pengamatan</w:t>
            </w:r>
          </w:p>
        </w:tc>
        <w:tc>
          <w:tcPr>
            <w:tcW w:type="dxa" w:w="96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Keterangan</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1</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Tambah Pengguna</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akan menampilkan form tambah data user.</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 tambah data user.</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2</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Mengosongkan kolom wajib (nama, username, password) lalu klik Simpan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penyimpanan dan menampilkan notifikasi kesalahan validasi input.</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penyimpanan dan menampilkan notifikasi kesalahan validasi input.</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3</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Mengisi data user secara lengkap dan valid lalu klik tombol Simpan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user baru ke database dan memperbarui daftar data pada tabel.</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user baru ke database dan memperbarui daftar data pada tabel.</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4</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Edit pada salah satu baris data user</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akan menampilkan form edit data user sesuai data yang dipilih.</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 edit data user sesuai data yang dipilih.</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5</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Mengubah informasi pengguna lalu klik tombol Simpan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memperbarui data user di database dan menampilkan pembaruan pada tabel.</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memperbarui data user di database dan menampilkan pembaruan pada tabel.</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6</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Hapus pada data user</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modal konfirmasi hapus data user.</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modal konfirmasi hapus data user.</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7</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konfirmasi Ya, Hapus Pengguna</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akan menghapus data user sesuai dengan ID dari database dan tabel.</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menghapus data user sesuai dengan ID dari database dan tabel.</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8</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Mengetikkan nama atau username pada kolom pencarian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memfilter dan menyajikan data user pada tabel secara real-time sesuai kata kunci.</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memfilter dan menyajikan data user pada tabel secara real-time sesuai kata kunci.</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bl>
    <w:p>
      <w:pPr>
        <w:spacing w:before="0" w:after="120"/>
      </w:pPr>
    </w:p>
    <w:p>
      <w:pPr>
        <w:spacing w:before="120" w:after="80" w:line="360" w:lineRule="auto"/>
        <w:jc w:val="both"/>
      </w:pPr>
      <w:r>
        <w:rPr>
          <w:rFonts w:ascii="Times New Roman" w:hAnsi="Times New Roman"/>
          <w:b w:val="0"/>
          <w:i w:val="0"/>
          <w:sz w:val="24"/>
        </w:rPr>
        <w:t>Pengujian halaman wilayah dilakukan untuk memverifikasi pengelolaan data master desa/kelurahan di Kecamatan Wundulako.</w:t>
      </w:r>
    </w:p>
    <w:p>
      <w:pPr>
        <w:spacing w:before="240" w:after="120" w:line="240" w:lineRule="auto"/>
        <w:jc w:val="center"/>
      </w:pPr>
      <w:r>
        <w:rPr>
          <w:rFonts w:ascii="Times New Roman" w:hAnsi="Times New Roman"/>
          <w:b/>
          <w:sz w:val="24"/>
        </w:rPr>
        <w:t>Tabel 4. 16 Pengujian Halaman Data Wilayah</w:t>
      </w:r>
    </w:p>
    <w:tbl>
      <w:tblPr>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567"/>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No</w:t>
            </w:r>
          </w:p>
        </w:tc>
        <w:tc>
          <w:tcPr>
            <w:tcW w:type="dxa" w:w="181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Skenario Pengujian</w:t>
            </w:r>
          </w:p>
        </w:tc>
        <w:tc>
          <w:tcPr>
            <w:tcW w:type="dxa" w:w="2438"/>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Hasil yang diharapkan</w:t>
            </w:r>
          </w:p>
        </w:tc>
        <w:tc>
          <w:tcPr>
            <w:tcW w:type="dxa" w:w="215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Pengamatan</w:t>
            </w:r>
          </w:p>
        </w:tc>
        <w:tc>
          <w:tcPr>
            <w:tcW w:type="dxa" w:w="96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Keterangan</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1</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Tambah Wilayah</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modal form tambah data wilayah baru.</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modal form tambah data wilayah baru.</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2</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Mengisi nama desa, kode pos, dan titik koordinat lalu klik Simpan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wilayah baru ke database dan menampilkannya pada tabel wilayah.</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wilayah baru ke database dan menampilkannya pada tabel wilayah.</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3</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Edit pada baris data wilayah</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 modal edit yang terisi data wilayah yang dipilih.</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 modal edit yang terisi data wilayah yang dipilih.</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4</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Mengubah nama wilayah atau titik koordinat lalu klik Simpan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memperbarui data wilayah pada database dan tabel daftar wilayah.</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memperbarui data wilayah pada database dan tabel daftar wilayah.</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5</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Hapus data wilayah dan mengonfirmasi penghapusan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menghapus data wilayah dari database dan tabel.</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menghapus data wilayah dari database dan tabel.</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bl>
    <w:p>
      <w:pPr>
        <w:spacing w:before="0" w:after="120"/>
      </w:pPr>
    </w:p>
    <w:p>
      <w:pPr>
        <w:spacing w:before="120" w:after="80" w:line="360" w:lineRule="auto"/>
        <w:jc w:val="both"/>
      </w:pPr>
      <w:r>
        <w:rPr>
          <w:rFonts w:ascii="Times New Roman" w:hAnsi="Times New Roman"/>
          <w:b w:val="0"/>
          <w:i w:val="0"/>
          <w:sz w:val="24"/>
        </w:rPr>
        <w:t>Pengujian halaman peserta KB dilakukan untuk memverifikasi pengelolaan data induk akseptor oleh Administrator dan Bidan.</w:t>
      </w:r>
    </w:p>
    <w:p>
      <w:pPr>
        <w:spacing w:before="240" w:after="120" w:line="240" w:lineRule="auto"/>
        <w:jc w:val="center"/>
      </w:pPr>
      <w:r>
        <w:rPr>
          <w:rFonts w:ascii="Times New Roman" w:hAnsi="Times New Roman"/>
          <w:b/>
          <w:sz w:val="24"/>
        </w:rPr>
        <w:t>Tabel 4. 17 Pengujian Halaman Data Peserta KB</w:t>
      </w:r>
    </w:p>
    <w:tbl>
      <w:tblPr>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567"/>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No</w:t>
            </w:r>
          </w:p>
        </w:tc>
        <w:tc>
          <w:tcPr>
            <w:tcW w:type="dxa" w:w="181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Skenario Pengujian</w:t>
            </w:r>
          </w:p>
        </w:tc>
        <w:tc>
          <w:tcPr>
            <w:tcW w:type="dxa" w:w="2438"/>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Hasil yang diharapkan</w:t>
            </w:r>
          </w:p>
        </w:tc>
        <w:tc>
          <w:tcPr>
            <w:tcW w:type="dxa" w:w="215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Pengamatan</w:t>
            </w:r>
          </w:p>
        </w:tc>
        <w:tc>
          <w:tcPr>
            <w:tcW w:type="dxa" w:w="96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Keterangan</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1</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Tambah Peserta KB</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mengarahkan pengguna ke halaman formulir pendaftaran peserta KB baru.</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mengarahkan pengguna ke halaman formulir pendaftaran peserta KB baru.</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2</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Mengisi data identitas lengkap akseptor (NIK, nama istri, nama suami, dll.) lalu klik Simpan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peserta KB ke database dan menampilkan notifikasi sukses.</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peserta KB ke database dan menampilkan notifikasi sukses.</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3</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Lihat Detail (Show) pada salah satu data peserta KB</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rincian biodata peserta KB, status kesertaan, dan riwayat kunjungan pelayanan.</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rincian biodata peserta KB, status kesertaan, dan riwayat kunjungan pelayanan.</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4</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Edit Data Peserta KB</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formulir pengubahan biodata peserta KB bersangkutan.</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formulir pengubahan biodata peserta KB bersangkutan.</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5</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Memasukkan NIK atau nama warga pada kolom pencarian (search)</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menyaring dan menyajikan data peserta KB yang sesuai secara real-time.</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menyaring dan menyajikan data peserta KB yang sesuai secara real-time.</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bl>
    <w:p>
      <w:pPr>
        <w:spacing w:before="0" w:after="120"/>
      </w:pPr>
    </w:p>
    <w:p>
      <w:pPr>
        <w:spacing w:before="120" w:after="80" w:line="360" w:lineRule="auto"/>
        <w:jc w:val="both"/>
      </w:pPr>
      <w:r>
        <w:rPr>
          <w:rFonts w:ascii="Times New Roman" w:hAnsi="Times New Roman"/>
          <w:b w:val="0"/>
          <w:i w:val="0"/>
          <w:sz w:val="24"/>
        </w:rPr>
        <w:t>Pengujian halaman jadwal pelayanan dilakukan untuk memverifikasi penjadwalan sesi pelayanan KB pada fasilitas kesehatan.</w:t>
      </w:r>
    </w:p>
    <w:p>
      <w:pPr>
        <w:spacing w:before="240" w:after="120" w:line="240" w:lineRule="auto"/>
        <w:jc w:val="center"/>
      </w:pPr>
      <w:r>
        <w:rPr>
          <w:rFonts w:ascii="Times New Roman" w:hAnsi="Times New Roman"/>
          <w:b/>
          <w:sz w:val="24"/>
        </w:rPr>
        <w:t>Tabel 4. 18 Pengujian Halaman Jadwal Pelayanan KB</w:t>
      </w:r>
    </w:p>
    <w:tbl>
      <w:tblPr>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567"/>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No</w:t>
            </w:r>
          </w:p>
        </w:tc>
        <w:tc>
          <w:tcPr>
            <w:tcW w:type="dxa" w:w="181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Skenario Pengujian</w:t>
            </w:r>
          </w:p>
        </w:tc>
        <w:tc>
          <w:tcPr>
            <w:tcW w:type="dxa" w:w="2438"/>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Hasil yang diharapkan</w:t>
            </w:r>
          </w:p>
        </w:tc>
        <w:tc>
          <w:tcPr>
            <w:tcW w:type="dxa" w:w="215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Pengamatan</w:t>
            </w:r>
          </w:p>
        </w:tc>
        <w:tc>
          <w:tcPr>
            <w:tcW w:type="dxa" w:w="96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Keterangan</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1</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Tambah Jadwal</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 modal pembuatan jadwal pelayanan baru.</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 modal pembuatan jadwal pelayanan baru.</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2</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Memasukkan jam selesai lebih awal dari jam mulai lalu klik Simpan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penyimpanan dan memberikan notifikasi bahwa rentang waktu tidak valid.</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menolak penyimpanan dan memberikan notifikasi bahwa rentang waktu tidak valid.</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3</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Mengisi faskes, tanggal, waktu mulai, waktu selesai, dan kuota valid lalu klik Simpan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jadwal pelayanan baru ke database dan menampilkannya pada tabel jadwal.</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jadwal pelayanan baru ke database dan menampilkannya pada tabel jadwal.</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4</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Mengubah toggle switch status jadwal (Aktif / Nonaktif)</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mengubah status ketersediaan jadwal secara instan tanpa perlu memuat ulang halaman.</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mengubah status ketersediaan jadwal secara instan tanpa perlu memuat ulang halaman.</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5</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Hapus pada data jadwal dan mengonfirmasi tindakan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menghapus data jadwal yang dipilih dari basis data.</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menghapus data jadwal yang dipilih dari basis data.</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bl>
    <w:p>
      <w:pPr>
        <w:spacing w:before="0" w:after="120"/>
      </w:pPr>
    </w:p>
    <w:p>
      <w:pPr>
        <w:spacing w:before="120" w:after="80" w:line="360" w:lineRule="auto"/>
        <w:jc w:val="both"/>
      </w:pPr>
      <w:r>
        <w:rPr>
          <w:rFonts w:ascii="Times New Roman" w:hAnsi="Times New Roman"/>
          <w:b w:val="0"/>
          <w:i w:val="0"/>
          <w:sz w:val="24"/>
        </w:rPr>
        <w:t>Pengujian inventaris alokon dilakukan untuk memverifikasi pencatatan saldo dan mutasi alat kontrasepsi.</w:t>
      </w:r>
    </w:p>
    <w:p>
      <w:pPr>
        <w:spacing w:before="240" w:after="120" w:line="240" w:lineRule="auto"/>
        <w:jc w:val="center"/>
      </w:pPr>
      <w:r>
        <w:rPr>
          <w:rFonts w:ascii="Times New Roman" w:hAnsi="Times New Roman"/>
          <w:b/>
          <w:sz w:val="24"/>
        </w:rPr>
        <w:t>Tabel 4. 19 Pengujian Halaman Manajemen Stok Alokon</w:t>
      </w:r>
    </w:p>
    <w:tbl>
      <w:tblPr>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567"/>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No</w:t>
            </w:r>
          </w:p>
        </w:tc>
        <w:tc>
          <w:tcPr>
            <w:tcW w:type="dxa" w:w="181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Skenario Pengujian</w:t>
            </w:r>
          </w:p>
        </w:tc>
        <w:tc>
          <w:tcPr>
            <w:tcW w:type="dxa" w:w="2438"/>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Hasil yang diharapkan</w:t>
            </w:r>
          </w:p>
        </w:tc>
        <w:tc>
          <w:tcPr>
            <w:tcW w:type="dxa" w:w="215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Pengamatan</w:t>
            </w:r>
          </w:p>
        </w:tc>
        <w:tc>
          <w:tcPr>
            <w:tcW w:type="dxa" w:w="96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Keterangan</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1</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Tambah Alokon / Penerimaan Stok</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 input jenis kontrasepsi dan jumlah stok fisik masuk.</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 input jenis kontrasepsi dan jumlah stok fisik masuk.</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2</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Mengisi nama alokon, kategori metode, satuan, dan jumlah stok lalu klik Simpan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alokon dan memperbarui total saldo stok pada database.</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alokon dan memperbarui total saldo stok pada database.</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3</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Edit data alokon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 edit data alokon sesuai dengan item yang dipilih.</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form edit data alokon sesuai dengan item yang dipilih.</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4</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Pengujian visual batas stok minimum (safety stock)</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lencana (badge) peringatan stok menipis berwarna merah saat jumlah stok berada di bawah batas minimum.</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lencana (badge) peringatan stok menipis berwarna merah saat jumlah stok berada di bawah batas minimum.</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5</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Hapus data alokon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menghapus item alokon terpilih dari database setelah konfirmasi pengguna.</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menghapus item alokon terpilih dari database setelah konfirmasi pengguna.</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bl>
    <w:p>
      <w:pPr>
        <w:spacing w:before="0" w:after="120"/>
      </w:pPr>
    </w:p>
    <w:p>
      <w:pPr>
        <w:spacing w:before="120" w:after="80" w:line="360" w:lineRule="auto"/>
        <w:jc w:val="both"/>
      </w:pPr>
      <w:r>
        <w:rPr>
          <w:rFonts w:ascii="Times New Roman" w:hAnsi="Times New Roman"/>
          <w:b w:val="0"/>
          <w:i w:val="0"/>
          <w:sz w:val="24"/>
        </w:rPr>
        <w:t>Pengujian alur pelayanan klinis dilakukan untuk memverifikasi proses 3 langkah wizard pelayanan KB oleh Bidan.</w:t>
      </w:r>
    </w:p>
    <w:p>
      <w:pPr>
        <w:spacing w:before="240" w:after="120" w:line="240" w:lineRule="auto"/>
        <w:jc w:val="center"/>
      </w:pPr>
      <w:r>
        <w:rPr>
          <w:rFonts w:ascii="Times New Roman" w:hAnsi="Times New Roman"/>
          <w:b/>
          <w:sz w:val="24"/>
        </w:rPr>
        <w:t>Tabel 4. 20 Pengujian Halaman Pelayanan KB (Alur Wizard Bidan)</w:t>
      </w:r>
    </w:p>
    <w:tbl>
      <w:tblPr>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567"/>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No</w:t>
            </w:r>
          </w:p>
        </w:tc>
        <w:tc>
          <w:tcPr>
            <w:tcW w:type="dxa" w:w="181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Skenario Pengujian</w:t>
            </w:r>
          </w:p>
        </w:tc>
        <w:tc>
          <w:tcPr>
            <w:tcW w:type="dxa" w:w="2438"/>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Hasil yang diharapkan</w:t>
            </w:r>
          </w:p>
        </w:tc>
        <w:tc>
          <w:tcPr>
            <w:tcW w:type="dxa" w:w="215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Pengamatan</w:t>
            </w:r>
          </w:p>
        </w:tc>
        <w:tc>
          <w:tcPr>
            <w:tcW w:type="dxa" w:w="96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Keterangan</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1</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Mulai Pelayanan KB pada antrean pasien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membuka formulir wizard pelayanan 3 langkah dan mengubah status antrean menjadi 'sedang dilayani'.</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membuka formulir wizard pelayanan 3 langkah dan mengubah status antrean menjadi 'sedang dilayani'.</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2</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Langkah 1 (Skrining Medis): Menginput data tekanan darah tinggi dan riwayat penyakit kontraindikasi</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mendeteksi risiko kontraindikasi klinis secara otomatis dan menampilkan peringatan bagi Bidan.</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mendeteksi risiko kontraindikasi klinis secara otomatis dan menampilkan peringatan bagi Bidan.</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3</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Langkah 1: Mengisi data anamnesa medis normal lalu klik tombol Lanjut ke Langkah 2</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memvalidasi data klinis dan berpindah ke Langkah 2 (Informed Consent).</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memvalidasi data klinis dan berpindah ke Langkah 2 (Informed Consent).</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4</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Langkah 2 (Informed Consent): Mencentang persetujuan tindakan akseptor dan suami lalu klik Lanjut ke Langkah 3</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memvalidasi kelengkapan persetujuan tindakan medis dan berpindah ke formulir Langkah 3 (Tindakan &amp; Alokon).</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memvalidasi kelengkapan persetujuan tindakan medis dan berpindah ke formulir Langkah 3 (Tindakan &amp; Alokon).</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5</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Langkah 3 (Tindakan &amp; Alokon): Memilih metode kontrasepsi yang stoknya kosong di faskes</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menonaktifkan opsi alokon atau menampilkan peringatan bahwa stok fisik habis.</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menonaktifkan opsi alokon atau menampilkan peringatan bahwa stok fisik habis.</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6</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Langkah 3: Memilih jenis kontrasepsi tersedia, tanggal kunjungan ulang, lalu klik tombol Selesaikan Pelayanan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pelayanan, memotong stok alokon otomatis di database, mengubah status antrean menjadi 'hadir', dan memunculkan notifikasi sukses.</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menyimpan data pelayanan, memotong stok alokon otomatis di database, mengubah status antrean menjadi 'hadir', dan memunculkan notifikasi sukses.</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7</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Cetak Kartu K/IV/KB</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lembar kartu status peserta KB (K/IV/KB) yang siap dicetak.</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lembar kartu status peserta KB (K/IV/KB) yang siap dicetak.</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bl>
    <w:p>
      <w:pPr>
        <w:spacing w:before="0" w:after="120"/>
      </w:pPr>
    </w:p>
    <w:p>
      <w:pPr>
        <w:spacing w:before="120" w:after="80" w:line="360" w:lineRule="auto"/>
        <w:jc w:val="both"/>
      </w:pPr>
      <w:r>
        <w:rPr>
          <w:rFonts w:ascii="Times New Roman" w:hAnsi="Times New Roman"/>
          <w:b w:val="0"/>
          <w:i w:val="0"/>
          <w:sz w:val="24"/>
        </w:rPr>
        <w:t>Pengujian halaman laporan dilakukan untuk memverifikasi filter data rekapitulasi serta fungsionalitas ekspor cetak PDF dan Excel.</w:t>
      </w:r>
    </w:p>
    <w:p>
      <w:pPr>
        <w:spacing w:before="240" w:after="120" w:line="240" w:lineRule="auto"/>
        <w:jc w:val="center"/>
      </w:pPr>
      <w:r>
        <w:rPr>
          <w:rFonts w:ascii="Times New Roman" w:hAnsi="Times New Roman"/>
          <w:b/>
          <w:sz w:val="24"/>
        </w:rPr>
        <w:t>Tabel 4. 21 Pengujian Halaman Laporan Pelayanan KB &amp; Ekspor PDF</w:t>
      </w:r>
    </w:p>
    <w:tbl>
      <w:tblPr>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567"/>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No</w:t>
            </w:r>
          </w:p>
        </w:tc>
        <w:tc>
          <w:tcPr>
            <w:tcW w:type="dxa" w:w="181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Skenario Pengujian</w:t>
            </w:r>
          </w:p>
        </w:tc>
        <w:tc>
          <w:tcPr>
            <w:tcW w:type="dxa" w:w="2438"/>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Hasil yang diharapkan</w:t>
            </w:r>
          </w:p>
        </w:tc>
        <w:tc>
          <w:tcPr>
            <w:tcW w:type="dxa" w:w="215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Pengamatan</w:t>
            </w:r>
          </w:p>
        </w:tc>
        <w:tc>
          <w:tcPr>
            <w:tcW w:type="dxa" w:w="96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Keterangan</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1</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Memilih filter bulan, tahun, faskes, dan metode KB lalu klik Terapkan Filter</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tabel rekapitulasi data pelayanan KB sesuai dengan parameter filter.</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tabel rekapitulasi data pelayanan KB sesuai dengan parameter filter.</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2</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Cetak PDF Laporan pada periode data yang memiliki transaksi</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menghasilkan dan mengunduh berkas laporan pelayanan KB dalam format PDF (A4 Landscape) lengkap dengan kop dinas.</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menghasilkan dan mengunduh berkas laporan pelayanan KB dalam format PDF (A4 Landscape) lengkap dengan kop dinas.</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3</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Cetak PDF pada periode yang tidak memiliki data transaksi</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pemberitahuan bahwa data pelayanan pada periode tersebut kosong / nihil.</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menampilkan pemberitahuan bahwa data pelayanan pada periode tersebut kosong / nihil.</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4</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Ekspor Excel</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mengekspor tabel rekapitulasi data akseptor dan pelayanan ke dalam format lembar kerja Excel (.xlsx).</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mengekspor tabel rekapitulasi data akseptor dan pelayanan ke dalam format lembar kerja Excel (.xlsx).</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bl>
    <w:p>
      <w:pPr>
        <w:spacing w:before="0" w:after="120"/>
      </w:pPr>
    </w:p>
    <w:p>
      <w:pPr>
        <w:spacing w:before="120" w:after="80" w:line="360" w:lineRule="auto"/>
        <w:jc w:val="both"/>
      </w:pPr>
      <w:r>
        <w:rPr>
          <w:rFonts w:ascii="Times New Roman" w:hAnsi="Times New Roman"/>
          <w:b w:val="0"/>
          <w:i w:val="0"/>
          <w:sz w:val="24"/>
        </w:rPr>
        <w:t>Pengujian halaman peta sebaran dilakukan untuk memverifikasi visualisasi spasial capaian akseptor KB berbasis Leaflet.js.</w:t>
      </w:r>
    </w:p>
    <w:p>
      <w:pPr>
        <w:spacing w:before="240" w:after="120" w:line="240" w:lineRule="auto"/>
        <w:jc w:val="center"/>
      </w:pPr>
      <w:r>
        <w:rPr>
          <w:rFonts w:ascii="Times New Roman" w:hAnsi="Times New Roman"/>
          <w:b/>
          <w:sz w:val="24"/>
        </w:rPr>
        <w:t>Tabel 4. 22 Pengujian Halaman Peta Sebaran GIS</w:t>
      </w:r>
    </w:p>
    <w:tbl>
      <w:tblPr>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567"/>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No</w:t>
            </w:r>
          </w:p>
        </w:tc>
        <w:tc>
          <w:tcPr>
            <w:tcW w:type="dxa" w:w="181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Skenario Pengujian</w:t>
            </w:r>
          </w:p>
        </w:tc>
        <w:tc>
          <w:tcPr>
            <w:tcW w:type="dxa" w:w="2438"/>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Hasil yang diharapkan</w:t>
            </w:r>
          </w:p>
        </w:tc>
        <w:tc>
          <w:tcPr>
            <w:tcW w:type="dxa" w:w="215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Pengamatan</w:t>
            </w:r>
          </w:p>
        </w:tc>
        <w:tc>
          <w:tcPr>
            <w:tcW w:type="dxa" w:w="964"/>
            <w:tcBorders>
              <w:top w:val="single" w:sz="4" w:space="0" w:color="000000"/>
              <w:left w:val="single" w:sz="4" w:space="0" w:color="000000"/>
              <w:bottom w:val="single" w:sz="4" w:space="0" w:color="000000"/>
              <w:right w:val="single" w:sz="4" w:space="0" w:color="000000"/>
            </w:tcBorders>
            <w:tcMar>
              <w:top w:w="120" w:type="dxa"/>
              <w:bottom w:w="120" w:type="dxa"/>
              <w:left w:w="140" w:type="dxa"/>
              <w:right w:w="140" w:type="dxa"/>
            </w:tcMar>
          </w:tcPr>
          <w:p>
            <w:pPr>
              <w:spacing w:before="80" w:after="80" w:line="240" w:lineRule="auto"/>
              <w:jc w:val="center"/>
            </w:pPr>
            <w:r>
              <w:rPr>
                <w:rFonts w:ascii="Times New Roman" w:hAnsi="Times New Roman"/>
                <w:b/>
                <w:sz w:val="22"/>
              </w:rPr>
              <w:t>Keterangan</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1</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Mengakses halaman Peta Sebaran GIS (/peta-sebaran)</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memuat peta geografis Kecamatan Wundulako dengan batas wilayah poligon per desa/kelurahan.</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memuat peta geografis Kecamatan Wundulako dengan batas wilayah poligon per desa/kelurahan.</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2</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Klik tombol kontrol perbesar peta (Zoom In) dan perkecil peta (Zoom Out)</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Skala peta bertambah besar atau mengecil secara dinamis dan mulus.</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Skala peta bertambah besar atau mengecil secara dinamis dan mulus.</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3</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Melakukan klik pada salah satu poligon desa di peta</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memunculkan popup informasi rincian nama desa, jumlah PUS, akseptor aktif, dan metode kontrasepsi terbanyak.</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memunculkan popup informasi rincian nama desa, jumlah PUS, akseptor aktif, dan metode kontrasepsi terbanyak.</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sz w:val="22"/>
              </w:rPr>
              <w:t>4</w:t>
            </w:r>
          </w:p>
        </w:tc>
        <w:tc>
          <w:tcPr>
            <w:tcW w:type="dxa" w:w="181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Mengubah opsi filter tahun atau metode pada kontrol peta</w:t>
            </w:r>
          </w:p>
        </w:tc>
        <w:tc>
          <w:tcPr>
            <w:tcW w:type="dxa" w:w="2438"/>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memperbarui intensitas gradasi warna wilayah (choropleth) secara dinamis sesuai data terbaru.</w:t>
            </w:r>
          </w:p>
        </w:tc>
        <w:tc>
          <w:tcPr>
            <w:tcW w:type="dxa" w:w="215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both"/>
            </w:pPr>
            <w:r>
              <w:rPr>
                <w:rFonts w:ascii="Times New Roman" w:hAnsi="Times New Roman"/>
                <w:sz w:val="22"/>
              </w:rPr>
              <w:t>Sistem memperbarui intensitas gradasi warna wilayah (choropleth) secara dinamis sesuai data terbaru.</w:t>
            </w:r>
          </w:p>
        </w:tc>
        <w:tc>
          <w:tcPr>
            <w:tcW w:type="dxa" w:w="964"/>
            <w:tcBorders>
              <w:top w:val="single" w:sz="4" w:space="0" w:color="000000"/>
              <w:left w:val="single" w:sz="4" w:space="0" w:color="000000"/>
              <w:bottom w:val="single" w:sz="4" w:space="0" w:color="000000"/>
              <w:right w:val="single" w:sz="4" w:space="0" w:color="000000"/>
            </w:tcBorders>
            <w:tcMar>
              <w:top w:w="100" w:type="dxa"/>
              <w:bottom w:w="100" w:type="dxa"/>
              <w:left w:w="140" w:type="dxa"/>
              <w:right w:w="140" w:type="dxa"/>
            </w:tcMar>
          </w:tcPr>
          <w:p>
            <w:pPr>
              <w:spacing w:before="60" w:after="60" w:line="276" w:lineRule="auto"/>
              <w:jc w:val="center"/>
            </w:pPr>
            <w:r>
              <w:rPr>
                <w:rFonts w:ascii="Times New Roman" w:hAnsi="Times New Roman"/>
                <w:i/>
                <w:sz w:val="22"/>
              </w:rPr>
              <w:t>Valid</w:t>
            </w:r>
          </w:p>
        </w:tc>
      </w:tr>
    </w:tbl>
    <w:p>
      <w:pPr>
        <w:spacing w:before="0" w:after="120"/>
      </w:pPr>
    </w:p>
    <w:p>
      <w:pPr>
        <w:spacing w:before="240" w:after="120"/>
        <w:jc w:val="left"/>
      </w:pPr>
      <w:r>
        <w:rPr>
          <w:rFonts w:ascii="Times New Roman" w:hAnsi="Times New Roman"/>
          <w:b/>
          <w:sz w:val="24"/>
        </w:rPr>
        <w:t>4.5.3 Rekapitulasi Hasil Pengujian dan Analisis Kelayakan</w:t>
      </w:r>
    </w:p>
    <w:p>
      <w:pPr>
        <w:spacing w:before="0" w:after="120" w:line="360" w:lineRule="auto"/>
        <w:jc w:val="both"/>
      </w:pPr>
      <w:r>
        <w:rPr>
          <w:rFonts w:ascii="Times New Roman" w:hAnsi="Times New Roman"/>
          <w:b w:val="0"/>
          <w:i w:val="0"/>
          <w:sz w:val="24"/>
        </w:rPr>
        <w:t>Berdasarkan pelaksanaan pengujian fungsionalitas Black Box Testing yang telah dilakukan pada seluruh modul Sistem Informasi Pelayanan KB, rekapitulasi data hasil pengujian dirangkum pada Tabel 4.23 berikut:</w:t>
      </w:r>
    </w:p>
    <w:p>
      <w:pPr>
        <w:spacing w:before="240" w:after="120"/>
        <w:jc w:val="center"/>
      </w:pPr>
      <w:r>
        <w:rPr>
          <w:rFonts w:ascii="Times New Roman" w:hAnsi="Times New Roman"/>
          <w:b/>
          <w:sz w:val="24"/>
        </w:rPr>
        <w:t>Tabel 4. 23 Rekapitulasi Hasil Pengujian Black Box Testing</w:t>
      </w:r>
    </w:p>
    <w:tbl>
      <w:tblPr>
        <w:tblW w:type="auto" w:w="0"/>
        <w:jc w:val="center"/>
        <w:tblLayout w:type="fixed"/>
        <w:tblLook w:firstColumn="1" w:firstRow="1" w:lastColumn="0" w:lastRow="0" w:noHBand="0" w:noVBand="1" w:val="04A0"/>
      </w:tblPr>
      <w:tblGrid>
        <w:gridCol w:w="1323"/>
        <w:gridCol w:w="1323"/>
        <w:gridCol w:w="1323"/>
        <w:gridCol w:w="1323"/>
        <w:gridCol w:w="1323"/>
        <w:gridCol w:w="1323"/>
      </w:tblGrid>
      <w:tr>
        <w:trPr>
          <w:tblHeader/>
        </w:trPr>
        <w:tc>
          <w:tcPr>
            <w:tcW w:type="dxa" w:w="567"/>
            <w:tcBorders>
              <w:top w:val="single" w:sz="4" w:space="0" w:color="000000"/>
              <w:left w:val="single" w:sz="4" w:space="0" w:color="000000"/>
              <w:bottom w:val="single" w:sz="4" w:space="0" w:color="000000"/>
              <w:right w:val="single" w:sz="4" w:space="0" w:color="000000"/>
            </w:tcBorders>
            <w:tcMar>
              <w:top w:w="120" w:type="dxa"/>
              <w:bottom w:w="120" w:type="dxa"/>
              <w:left w:w="120" w:type="dxa"/>
              <w:right w:w="120" w:type="dxa"/>
            </w:tcMar>
          </w:tcPr>
          <w:p>
            <w:pPr>
              <w:spacing w:before="80" w:after="80"/>
              <w:jc w:val="center"/>
            </w:pPr>
            <w:r>
              <w:rPr>
                <w:rFonts w:ascii="Times New Roman" w:hAnsi="Times New Roman"/>
                <w:b/>
                <w:sz w:val="22"/>
              </w:rPr>
              <w:t>No</w:t>
            </w:r>
          </w:p>
        </w:tc>
        <w:tc>
          <w:tcPr>
            <w:tcW w:type="dxa" w:w="3288"/>
            <w:tcBorders>
              <w:top w:val="single" w:sz="4" w:space="0" w:color="000000"/>
              <w:left w:val="single" w:sz="4" w:space="0" w:color="000000"/>
              <w:bottom w:val="single" w:sz="4" w:space="0" w:color="000000"/>
              <w:right w:val="single" w:sz="4" w:space="0" w:color="000000"/>
            </w:tcBorders>
            <w:tcMar>
              <w:top w:w="120" w:type="dxa"/>
              <w:bottom w:w="120" w:type="dxa"/>
              <w:left w:w="120" w:type="dxa"/>
              <w:right w:w="120" w:type="dxa"/>
            </w:tcMar>
          </w:tcPr>
          <w:p>
            <w:pPr>
              <w:spacing w:before="80" w:after="80"/>
              <w:jc w:val="center"/>
            </w:pPr>
            <w:r>
              <w:rPr>
                <w:rFonts w:ascii="Times New Roman" w:hAnsi="Times New Roman"/>
                <w:b/>
                <w:sz w:val="22"/>
              </w:rPr>
              <w:t>Modul / Halaman Pengujian</w:t>
            </w:r>
          </w:p>
        </w:tc>
        <w:tc>
          <w:tcPr>
            <w:tcW w:type="dxa" w:w="1020"/>
            <w:tcBorders>
              <w:top w:val="single" w:sz="4" w:space="0" w:color="000000"/>
              <w:left w:val="single" w:sz="4" w:space="0" w:color="000000"/>
              <w:bottom w:val="single" w:sz="4" w:space="0" w:color="000000"/>
              <w:right w:val="single" w:sz="4" w:space="0" w:color="000000"/>
            </w:tcBorders>
            <w:tcMar>
              <w:top w:w="120" w:type="dxa"/>
              <w:bottom w:w="120" w:type="dxa"/>
              <w:left w:w="120" w:type="dxa"/>
              <w:right w:w="120" w:type="dxa"/>
            </w:tcMar>
          </w:tcPr>
          <w:p>
            <w:pPr>
              <w:spacing w:before="80" w:after="80"/>
              <w:jc w:val="center"/>
            </w:pPr>
            <w:r>
              <w:rPr>
                <w:rFonts w:ascii="Times New Roman" w:hAnsi="Times New Roman"/>
                <w:b/>
                <w:sz w:val="22"/>
              </w:rPr>
              <w:t>Jumlah Uji</w:t>
            </w:r>
          </w:p>
        </w:tc>
        <w:tc>
          <w:tcPr>
            <w:tcW w:type="dxa" w:w="1020"/>
            <w:tcBorders>
              <w:top w:val="single" w:sz="4" w:space="0" w:color="000000"/>
              <w:left w:val="single" w:sz="4" w:space="0" w:color="000000"/>
              <w:bottom w:val="single" w:sz="4" w:space="0" w:color="000000"/>
              <w:right w:val="single" w:sz="4" w:space="0" w:color="000000"/>
            </w:tcBorders>
            <w:tcMar>
              <w:top w:w="120" w:type="dxa"/>
              <w:bottom w:w="120" w:type="dxa"/>
              <w:left w:w="120" w:type="dxa"/>
              <w:right w:w="120" w:type="dxa"/>
            </w:tcMar>
          </w:tcPr>
          <w:p>
            <w:pPr>
              <w:spacing w:before="80" w:after="80"/>
              <w:jc w:val="center"/>
            </w:pPr>
            <w:r>
              <w:rPr>
                <w:rFonts w:ascii="Times New Roman" w:hAnsi="Times New Roman"/>
                <w:b/>
                <w:sz w:val="22"/>
              </w:rPr>
              <w:t>Valid</w:t>
            </w:r>
          </w:p>
        </w:tc>
        <w:tc>
          <w:tcPr>
            <w:tcW w:type="dxa" w:w="1020"/>
            <w:tcBorders>
              <w:top w:val="single" w:sz="4" w:space="0" w:color="000000"/>
              <w:left w:val="single" w:sz="4" w:space="0" w:color="000000"/>
              <w:bottom w:val="single" w:sz="4" w:space="0" w:color="000000"/>
              <w:right w:val="single" w:sz="4" w:space="0" w:color="000000"/>
            </w:tcBorders>
            <w:tcMar>
              <w:top w:w="120" w:type="dxa"/>
              <w:bottom w:w="120" w:type="dxa"/>
              <w:left w:w="120" w:type="dxa"/>
              <w:right w:w="120" w:type="dxa"/>
            </w:tcMar>
          </w:tcPr>
          <w:p>
            <w:pPr>
              <w:spacing w:before="80" w:after="80"/>
              <w:jc w:val="center"/>
            </w:pPr>
            <w:r>
              <w:rPr>
                <w:rFonts w:ascii="Times New Roman" w:hAnsi="Times New Roman"/>
                <w:b/>
                <w:sz w:val="22"/>
              </w:rPr>
              <w:t>Tidak Valid</w:t>
            </w:r>
          </w:p>
        </w:tc>
        <w:tc>
          <w:tcPr>
            <w:tcW w:type="dxa" w:w="1020"/>
            <w:tcBorders>
              <w:top w:val="single" w:sz="4" w:space="0" w:color="000000"/>
              <w:left w:val="single" w:sz="4" w:space="0" w:color="000000"/>
              <w:bottom w:val="single" w:sz="4" w:space="0" w:color="000000"/>
              <w:right w:val="single" w:sz="4" w:space="0" w:color="000000"/>
            </w:tcBorders>
            <w:tcMar>
              <w:top w:w="120" w:type="dxa"/>
              <w:bottom w:w="120" w:type="dxa"/>
              <w:left w:w="120" w:type="dxa"/>
              <w:right w:w="120" w:type="dxa"/>
            </w:tcMar>
          </w:tcPr>
          <w:p>
            <w:pPr>
              <w:spacing w:before="80" w:after="80"/>
              <w:jc w:val="center"/>
            </w:pPr>
            <w:r>
              <w:rPr>
                <w:rFonts w:ascii="Times New Roman" w:hAnsi="Times New Roman"/>
                <w:b/>
                <w:sz w:val="22"/>
              </w:rPr>
              <w:t>Persentase</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w:t>
            </w:r>
          </w:p>
        </w:tc>
        <w:tc>
          <w:tcPr>
            <w:tcW w:type="dxa" w:w="3288"/>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left"/>
            </w:pPr>
            <w:r>
              <w:rPr>
                <w:rFonts w:ascii="Times New Roman" w:hAnsi="Times New Roman"/>
                <w:sz w:val="22"/>
              </w:rPr>
              <w:t>Pengujian Halaman Login</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5</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5</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0</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100%</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2</w:t>
            </w:r>
          </w:p>
        </w:tc>
        <w:tc>
          <w:tcPr>
            <w:tcW w:type="dxa" w:w="3288"/>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left"/>
            </w:pPr>
            <w:r>
              <w:rPr>
                <w:rFonts w:ascii="Times New Roman" w:hAnsi="Times New Roman"/>
                <w:sz w:val="22"/>
              </w:rPr>
              <w:t>Pengujian Halaman Registrasi Mandiri Akseptor</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8</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8</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0</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100%</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3</w:t>
            </w:r>
          </w:p>
        </w:tc>
        <w:tc>
          <w:tcPr>
            <w:tcW w:type="dxa" w:w="3288"/>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left"/>
            </w:pPr>
            <w:r>
              <w:rPr>
                <w:rFonts w:ascii="Times New Roman" w:hAnsi="Times New Roman"/>
                <w:sz w:val="22"/>
              </w:rPr>
              <w:t>Pengujian Halaman Manajemen User</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8</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8</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0</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100%</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4</w:t>
            </w:r>
          </w:p>
        </w:tc>
        <w:tc>
          <w:tcPr>
            <w:tcW w:type="dxa" w:w="3288"/>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left"/>
            </w:pPr>
            <w:r>
              <w:rPr>
                <w:rFonts w:ascii="Times New Roman" w:hAnsi="Times New Roman"/>
                <w:sz w:val="22"/>
              </w:rPr>
              <w:t>Pengujian Halaman Data Wilayah</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5</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5</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0</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100%</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5</w:t>
            </w:r>
          </w:p>
        </w:tc>
        <w:tc>
          <w:tcPr>
            <w:tcW w:type="dxa" w:w="3288"/>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left"/>
            </w:pPr>
            <w:r>
              <w:rPr>
                <w:rFonts w:ascii="Times New Roman" w:hAnsi="Times New Roman"/>
                <w:sz w:val="22"/>
              </w:rPr>
              <w:t>Pengujian Halaman Data Peserta KB</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5</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5</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0</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100%</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6</w:t>
            </w:r>
          </w:p>
        </w:tc>
        <w:tc>
          <w:tcPr>
            <w:tcW w:type="dxa" w:w="3288"/>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left"/>
            </w:pPr>
            <w:r>
              <w:rPr>
                <w:rFonts w:ascii="Times New Roman" w:hAnsi="Times New Roman"/>
                <w:sz w:val="22"/>
              </w:rPr>
              <w:t>Pengujian Halaman Jadwal Pelayanan KB</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5</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5</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0</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100%</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7</w:t>
            </w:r>
          </w:p>
        </w:tc>
        <w:tc>
          <w:tcPr>
            <w:tcW w:type="dxa" w:w="3288"/>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left"/>
            </w:pPr>
            <w:r>
              <w:rPr>
                <w:rFonts w:ascii="Times New Roman" w:hAnsi="Times New Roman"/>
                <w:sz w:val="22"/>
              </w:rPr>
              <w:t>Pengujian Halaman Manajemen Stok Alokon</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5</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5</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0</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100%</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8</w:t>
            </w:r>
          </w:p>
        </w:tc>
        <w:tc>
          <w:tcPr>
            <w:tcW w:type="dxa" w:w="3288"/>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left"/>
            </w:pPr>
            <w:r>
              <w:rPr>
                <w:rFonts w:ascii="Times New Roman" w:hAnsi="Times New Roman"/>
                <w:sz w:val="22"/>
              </w:rPr>
              <w:t>Pengujian Halaman Pelayanan KB (Alur Wizard Bidan)</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7</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7</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0</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100%</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9</w:t>
            </w:r>
          </w:p>
        </w:tc>
        <w:tc>
          <w:tcPr>
            <w:tcW w:type="dxa" w:w="3288"/>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left"/>
            </w:pPr>
            <w:r>
              <w:rPr>
                <w:rFonts w:ascii="Times New Roman" w:hAnsi="Times New Roman"/>
                <w:sz w:val="22"/>
              </w:rPr>
              <w:t>Pengujian Halaman Laporan Pelayanan KB &amp; Ekspor PDF</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4</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4</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0</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100%</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10</w:t>
            </w:r>
          </w:p>
        </w:tc>
        <w:tc>
          <w:tcPr>
            <w:tcW w:type="dxa" w:w="3288"/>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left"/>
            </w:pPr>
            <w:r>
              <w:rPr>
                <w:rFonts w:ascii="Times New Roman" w:hAnsi="Times New Roman"/>
                <w:sz w:val="22"/>
              </w:rPr>
              <w:t>Pengujian Halaman Peta Sebaran GIS</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4</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4</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0</w:t>
            </w:r>
          </w:p>
        </w:tc>
        <w:tc>
          <w:tcPr>
            <w:tcW w:type="dxa" w:w="1020"/>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before="60" w:after="60" w:line="276" w:lineRule="auto"/>
              <w:jc w:val="center"/>
            </w:pPr>
            <w:r>
              <w:rPr>
                <w:rFonts w:ascii="Times New Roman" w:hAnsi="Times New Roman"/>
                <w:sz w:val="22"/>
              </w:rPr>
              <w:t>100%</w:t>
            </w:r>
          </w:p>
        </w:tc>
      </w:tr>
      <w:tr>
        <w:trPr>
          <w:cantSplit/>
        </w:trPr>
        <w:tc>
          <w:tcPr>
            <w:tcW w:type="dxa" w:w="567"/>
            <w:tcBorders>
              <w:top w:val="single" w:sz="4" w:space="0" w:color="000000"/>
              <w:left w:val="single" w:sz="4" w:space="0" w:color="000000"/>
              <w:bottom w:val="single" w:sz="4" w:space="0" w:color="000000"/>
              <w:right w:val="single" w:sz="4" w:space="0" w:color="000000"/>
            </w:tcBorders>
            <w:tcMar>
              <w:top w:w="100" w:type="dxa"/>
              <w:bottom w:w="100" w:type="dxa"/>
              <w:left w:w="120" w:type="dxa"/>
              <w:right w:w="120" w:type="dxa"/>
            </w:tcMar>
          </w:tcPr>
          <w:p>
            <w:pPr>
              <w:jc w:val="center"/>
            </w:pPr>
            <w:r/>
          </w:p>
        </w:tc>
        <w:tc>
          <w:tcPr>
            <w:tcW w:type="dxa" w:w="3288"/>
            <w:tcBorders>
              <w:top w:val="single" w:sz="4" w:space="0" w:color="000000"/>
              <w:left w:val="single" w:sz="4" w:space="0" w:color="000000"/>
              <w:bottom w:val="single" w:sz="4" w:space="0" w:color="000000"/>
              <w:right w:val="single" w:sz="4" w:space="0" w:color="000000"/>
            </w:tcBorders>
            <w:tcMar>
              <w:top w:w="100" w:type="dxa"/>
              <w:bottom w:w="100" w:type="dxa"/>
              <w:left w:w="120" w:type="dxa"/>
              <w:right w:w="120" w:type="dxa"/>
            </w:tcMar>
          </w:tcPr>
          <w:p>
            <w:pPr>
              <w:jc w:val="center"/>
            </w:pPr>
            <w:r>
              <w:rPr>
                <w:rFonts w:ascii="Times New Roman" w:hAnsi="Times New Roman"/>
                <w:b/>
                <w:sz w:val="22"/>
              </w:rPr>
              <w:t>Total Kasus Uji</w:t>
            </w:r>
          </w:p>
        </w:tc>
        <w:tc>
          <w:tcPr>
            <w:tcW w:type="dxa" w:w="1020"/>
            <w:tcBorders>
              <w:top w:val="single" w:sz="4" w:space="0" w:color="000000"/>
              <w:left w:val="single" w:sz="4" w:space="0" w:color="000000"/>
              <w:bottom w:val="single" w:sz="4" w:space="0" w:color="000000"/>
              <w:right w:val="single" w:sz="4" w:space="0" w:color="000000"/>
            </w:tcBorders>
            <w:tcMar>
              <w:top w:w="100" w:type="dxa"/>
              <w:bottom w:w="100" w:type="dxa"/>
              <w:left w:w="120" w:type="dxa"/>
              <w:right w:w="120" w:type="dxa"/>
            </w:tcMar>
          </w:tcPr>
          <w:p>
            <w:pPr>
              <w:jc w:val="center"/>
            </w:pPr>
            <w:r>
              <w:rPr>
                <w:rFonts w:ascii="Times New Roman" w:hAnsi="Times New Roman"/>
                <w:b/>
                <w:sz w:val="22"/>
              </w:rPr>
              <w:t>56</w:t>
            </w:r>
          </w:p>
        </w:tc>
        <w:tc>
          <w:tcPr>
            <w:tcW w:type="dxa" w:w="1020"/>
            <w:tcBorders>
              <w:top w:val="single" w:sz="4" w:space="0" w:color="000000"/>
              <w:left w:val="single" w:sz="4" w:space="0" w:color="000000"/>
              <w:bottom w:val="single" w:sz="4" w:space="0" w:color="000000"/>
              <w:right w:val="single" w:sz="4" w:space="0" w:color="000000"/>
            </w:tcBorders>
            <w:tcMar>
              <w:top w:w="100" w:type="dxa"/>
              <w:bottom w:w="100" w:type="dxa"/>
              <w:left w:w="120" w:type="dxa"/>
              <w:right w:w="120" w:type="dxa"/>
            </w:tcMar>
          </w:tcPr>
          <w:p>
            <w:pPr>
              <w:jc w:val="center"/>
            </w:pPr>
            <w:r>
              <w:rPr>
                <w:rFonts w:ascii="Times New Roman" w:hAnsi="Times New Roman"/>
                <w:b/>
                <w:sz w:val="22"/>
              </w:rPr>
              <w:t>56</w:t>
            </w:r>
          </w:p>
        </w:tc>
        <w:tc>
          <w:tcPr>
            <w:tcW w:type="dxa" w:w="1020"/>
            <w:tcBorders>
              <w:top w:val="single" w:sz="4" w:space="0" w:color="000000"/>
              <w:left w:val="single" w:sz="4" w:space="0" w:color="000000"/>
              <w:bottom w:val="single" w:sz="4" w:space="0" w:color="000000"/>
              <w:right w:val="single" w:sz="4" w:space="0" w:color="000000"/>
            </w:tcBorders>
            <w:tcMar>
              <w:top w:w="100" w:type="dxa"/>
              <w:bottom w:w="100" w:type="dxa"/>
              <w:left w:w="120" w:type="dxa"/>
              <w:right w:w="120" w:type="dxa"/>
            </w:tcMar>
          </w:tcPr>
          <w:p>
            <w:pPr>
              <w:jc w:val="center"/>
            </w:pPr>
            <w:r>
              <w:rPr>
                <w:rFonts w:ascii="Times New Roman" w:hAnsi="Times New Roman"/>
                <w:b/>
                <w:sz w:val="22"/>
              </w:rPr>
              <w:t>0</w:t>
            </w:r>
          </w:p>
        </w:tc>
        <w:tc>
          <w:tcPr>
            <w:tcW w:type="dxa" w:w="1020"/>
            <w:tcBorders>
              <w:top w:val="single" w:sz="4" w:space="0" w:color="000000"/>
              <w:left w:val="single" w:sz="4" w:space="0" w:color="000000"/>
              <w:bottom w:val="single" w:sz="4" w:space="0" w:color="000000"/>
              <w:right w:val="single" w:sz="4" w:space="0" w:color="000000"/>
            </w:tcBorders>
            <w:tcMar>
              <w:top w:w="100" w:type="dxa"/>
              <w:bottom w:w="100" w:type="dxa"/>
              <w:left w:w="120" w:type="dxa"/>
              <w:right w:w="120" w:type="dxa"/>
            </w:tcMar>
          </w:tcPr>
          <w:p>
            <w:pPr>
              <w:jc w:val="center"/>
            </w:pPr>
            <w:r>
              <w:rPr>
                <w:rFonts w:ascii="Times New Roman" w:hAnsi="Times New Roman"/>
                <w:b/>
                <w:sz w:val="22"/>
              </w:rPr>
              <w:t>100%</w:t>
            </w:r>
          </w:p>
        </w:tc>
      </w:tr>
    </w:tbl>
    <w:p>
      <w:pPr>
        <w:spacing w:before="0" w:after="120"/>
      </w:pPr>
    </w:p>
    <w:p>
      <w:pPr>
        <w:spacing w:before="0" w:after="120" w:line="360" w:lineRule="auto"/>
        <w:jc w:val="both"/>
      </w:pPr>
      <w:r>
        <w:rPr>
          <w:rFonts w:ascii="Times New Roman" w:hAnsi="Times New Roman"/>
          <w:b w:val="0"/>
          <w:i w:val="0"/>
          <w:sz w:val="24"/>
        </w:rPr>
        <w:t>Berdasarkan Tabel 4.23 di atas, dari total 56 (lima puluh enam) kasus uji fungsionalitas yang dieksekusi terhadap 10 halaman antarmuka sistem informasi, seluruh kasus uji (100%) menghasilkan status Valid dan tidak ditemukan kegagalan fungsi ataupun galat sistem (error). Tombol-tombol navigasi, formulir input, validasi keamanan, alur pelayanan klinis 3 langkah (wizard), pemotongan stok alokon otomatis, pencetakan dokumen PDF tiket antrean maupun laporan, serta peta interaktif GIS telah beroperasi secara optimal dan sesuai dengan kebutuhan pengguna di DPPKB Kecamatan Wundulako. Dengan demikian, sistem informasi ini dinyatakan layak dan siap digunakan untuk mendukung operasional pelayanan Keluarga Berencana.</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