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AD3B0C" w14:textId="77777777" w:rsidR="00A50464" w:rsidRDefault="00A50464" w:rsidP="00A50464">
      <w:pPr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  <w:t>LITERATURE REVIEW</w:t>
      </w:r>
    </w:p>
    <w:p w14:paraId="52BF125A" w14:textId="77777777" w:rsidR="00A50464" w:rsidRDefault="00A50464" w:rsidP="00A50464">
      <w:pPr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</w:pPr>
    </w:p>
    <w:p w14:paraId="072FDC1E" w14:textId="77777777" w:rsidR="00A50464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B30A50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The development of automated plumbing infrastructure combines concepts from optoelectronics, fluid mechanics, and embedded control systems. To establish a strong foundation for this mini-project, this literature review examines the historic transition from manual faucets, analyzes alternative sensing methodologies, and evaluates key academic and industrial benchmarks in touchless tap design.</w:t>
      </w:r>
    </w:p>
    <w:p w14:paraId="521C2112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 xml:space="preserve"> The development of automated plumbing infrastructure combines concepts from optoelectronics, fluid mechanics, and embedded control systems. To establish a strong foundation for this mini-project, this literature review examines the historic transition from manual faucets, analyzes alternative sensing methodologies, and evaluates key academic and industrial benchmarks in touchless tap design.</w:t>
      </w:r>
    </w:p>
    <w:p w14:paraId="1C2D95E5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551"/>
        <w:gridCol w:w="1882"/>
        <w:gridCol w:w="2050"/>
        <w:gridCol w:w="1677"/>
      </w:tblGrid>
      <w:tr w:rsidR="00A50464" w:rsidRPr="007A2816" w14:paraId="61D29C83" w14:textId="77777777" w:rsidTr="004D608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DC2A51" w14:textId="77777777" w:rsidR="00A50464" w:rsidRPr="007A2816" w:rsidRDefault="00A50464" w:rsidP="004D608B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Sensing Technology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501AC6" w14:textId="77777777" w:rsidR="00A50464" w:rsidRPr="007A2816" w:rsidRDefault="00A50464" w:rsidP="004D608B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Operating Principle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20045B" w14:textId="77777777" w:rsidR="00A50464" w:rsidRPr="007A2816" w:rsidRDefault="00A50464" w:rsidP="004D608B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Advantages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53FC83" w14:textId="77777777" w:rsidR="00A50464" w:rsidRPr="007A2816" w:rsidRDefault="00A50464" w:rsidP="004D608B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Disadvantages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0B052F" w14:textId="77777777" w:rsidR="00A50464" w:rsidRPr="007A2816" w:rsidRDefault="00A50464" w:rsidP="004D608B">
            <w:pPr>
              <w:spacing w:after="0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Suitability for Mini-Projects</w:t>
            </w:r>
          </w:p>
        </w:tc>
      </w:tr>
      <w:tr w:rsidR="00A50464" w:rsidRPr="007A2816" w14:paraId="5992E1A0" w14:textId="77777777" w:rsidTr="004D608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CB2F85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Passive Infrared (PIR)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EAEAAA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Detects ambient body heat signatures.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39646E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Broad coverage area; low power consumption.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CEC6B9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High response lag; struggles to detect stationary hands; easily tripped by room temperature changes.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AA7D39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Poor:</w:t>
            </w: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 xml:space="preserve"> Inaccurate at close, precise distances.</w:t>
            </w:r>
          </w:p>
        </w:tc>
      </w:tr>
      <w:tr w:rsidR="00A50464" w:rsidRPr="007A2816" w14:paraId="68EC5483" w14:textId="77777777" w:rsidTr="004D608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E6A2DE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Ultrasonic Sensors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03267F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Measures time-of-flight of high-frequency sound waves.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E895C0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High distance accuracy; independent of object color or lighting.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C5C8C1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Expensive; susceptible to echo interference from sink basins; complex code requirements.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B3846F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Moderate:</w:t>
            </w: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 xml:space="preserve"> Over-engineered for simple binary tap logic.</w:t>
            </w:r>
          </w:p>
        </w:tc>
      </w:tr>
      <w:tr w:rsidR="00A50464" w:rsidRPr="007A2816" w14:paraId="5AF5235A" w14:textId="77777777" w:rsidTr="004D608B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731CA7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Capacitive/Touch Sensing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1EFE32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Detects changes in electrical capacitance via human skin contact.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0AA19A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Highly precise; small physical footprint.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E657D3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Requires physical contact with a metal plate, failing the touchless hygiene requirement.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C4336A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Poor:</w:t>
            </w: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 xml:space="preserve"> Maintains the pathogen transmission vector.</w:t>
            </w:r>
          </w:p>
        </w:tc>
      </w:tr>
      <w:tr w:rsidR="00A50464" w:rsidRPr="007A2816" w14:paraId="721F6A0E" w14:textId="77777777" w:rsidTr="004D608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5A163B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Active Infrared (IR)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0138370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Measures reflection of emitted light beams.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A64DC1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Zero physical touch; instant response time; compact size; highly affordable components.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01DECB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>Can be affected by high ambient sunlight or high-gloss mirrored sink surfaces.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CD1159" w14:textId="77777777" w:rsidR="00A50464" w:rsidRPr="007A2816" w:rsidRDefault="00A50464" w:rsidP="004D608B">
            <w:pPr>
              <w:spacing w:after="0"/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</w:pPr>
            <w:r w:rsidRPr="007A281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 w:bidi="hi-IN"/>
                <w14:ligatures w14:val="none"/>
              </w:rPr>
              <w:t>Excellent:</w:t>
            </w:r>
            <w:r w:rsidRPr="007A2816">
              <w:rPr>
                <w:rFonts w:eastAsia="Times New Roman" w:cstheme="minorHAnsi"/>
                <w:kern w:val="0"/>
                <w:sz w:val="24"/>
                <w:szCs w:val="24"/>
                <w:lang w:val="en-US" w:bidi="hi-IN"/>
                <w14:ligatures w14:val="none"/>
              </w:rPr>
              <w:t xml:space="preserve"> Ideal balance of low cost, simple wiring, and high reliability.</w:t>
            </w:r>
          </w:p>
        </w:tc>
      </w:tr>
    </w:tbl>
    <w:p w14:paraId="3A349C6A" w14:textId="77777777" w:rsidR="00A50464" w:rsidRPr="007A2816" w:rsidRDefault="00A50464" w:rsidP="00A50464">
      <w:pPr>
        <w:spacing w:before="540" w:after="540"/>
        <w:rPr>
          <w:rFonts w:ascii="Arial" w:eastAsia="Times New Roman" w:hAnsi="Arial" w:cs="Arial"/>
          <w:kern w:val="0"/>
          <w:sz w:val="21"/>
          <w:szCs w:val="21"/>
          <w:lang w:val="en-US" w:bidi="hi-IN"/>
          <w14:ligatures w14:val="none"/>
        </w:rPr>
      </w:pPr>
    </w:p>
    <w:p w14:paraId="0F6155C5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lastRenderedPageBreak/>
        <w:t>Numerous researchers (such as Kumar et al.) have demonstrated the effectiveness of pairing IR sensors with microcontrollers like the ATmega328P (Arduino</w:t>
      </w:r>
      <w:r w:rsidRPr="007A2816">
        <w:rPr>
          <w:rFonts w:eastAsia="Times New Roman" w:cstheme="minorHAnsi"/>
          <w:b/>
          <w:bCs/>
          <w:kern w:val="0"/>
          <w:sz w:val="24"/>
          <w:szCs w:val="24"/>
          <w:lang w:val="en-US" w:bidi="hi-IN"/>
          <w14:ligatures w14:val="none"/>
        </w:rPr>
        <w:t xml:space="preserve"> </w:t>
      </w: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Uno/Nano). These systems route the processed digital sensor output through the microcontroller’s GPIO pins.</w:t>
      </w:r>
    </w:p>
    <w:p w14:paraId="24241014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The primary advantage noted in the literature is the ability to write custom firmware that implements an anti-flicker delay loop. This debouncing logic prevents the solenoid valve from rapidly turning on and off if a user moves their fingers slightly within the detection field. This software control minimizes water hammer issues and extends the mechanical lifecycle of the valve.</w:t>
      </w:r>
    </w:p>
    <w:p w14:paraId="16899ADF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To minimize production costs, alternative research explores bypassing microcontrollers entirely. These designs route the output of an LM393 voltage comparator IC directly into the base terminal of a power switching transistor, such as a TIP122 Darlington NPN transistor or an IRF540N N-Channel MOSFET.</w:t>
      </w:r>
    </w:p>
    <w:p w14:paraId="38071B0E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The literature shows that while this approach lacks adjustable software delays, it offers a highly efficient, low-cost solution with near-zero idle current draw. This makes it well-suited for standalone, battery-powered deployments in rural or off-grid sanitation stations.</w:t>
      </w:r>
    </w:p>
    <w:p w14:paraId="03A5AADA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A common challenge discussed in automation literature is managing the power interface between low-voltage control circuits and high-voltage actuators. Researchers emphasize using optocouplers (e.g., PC817) or electromechanical relays to establish strict galvanic isolation.</w:t>
      </w:r>
    </w:p>
    <w:p w14:paraId="05981A9B" w14:textId="77777777" w:rsidR="00A50464" w:rsidRPr="00190BEF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Without this protective boundary, the inductive back-EMF surge generated when the solenoid's electromagnetic coil de-energizes can cause voltage spikes that permanently damage control components. Scholars recommend placing a across the solenoid terminals to safely dissipate these reverse voltage spikes.</w:t>
      </w:r>
    </w:p>
    <w:p w14:paraId="374162A2" w14:textId="77777777" w:rsidR="00A50464" w:rsidRPr="007A2816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While commercial automatic taps are widely available, they often use integrated, proprietary black-box circuits that are expensive and difficult for local technicians to repair. Existing academic literature frequently focuses on complex Internet of Things (IoT) water meters or smart home networks, creating a gap for a simplified architectural guide.</w:t>
      </w:r>
    </w:p>
    <w:p w14:paraId="6271AEC6" w14:textId="77777777" w:rsidR="00A50464" w:rsidRPr="007A2816" w:rsidRDefault="00A50464" w:rsidP="00A50464">
      <w:pPr>
        <w:spacing w:before="540" w:after="540"/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  <w:r w:rsidRPr="007A2816"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  <w:t>This mini-project addresses that gap by compiling a clear, accessible layout that uses affordable, consumer-grade hardware. It demonstrates that effective, reliable, and touchless resource management can be achieved without high financial investment.</w:t>
      </w:r>
    </w:p>
    <w:p w14:paraId="3E4ADE89" w14:textId="77777777" w:rsidR="00A50464" w:rsidRPr="007A2816" w:rsidRDefault="00A50464" w:rsidP="00A50464">
      <w:pPr>
        <w:spacing w:before="540" w:after="540"/>
        <w:rPr>
          <w:rFonts w:eastAsia="Times New Roman" w:cstheme="minorHAnsi"/>
          <w:kern w:val="0"/>
          <w:sz w:val="21"/>
          <w:szCs w:val="21"/>
          <w:lang w:val="en-US" w:bidi="hi-IN"/>
          <w14:ligatures w14:val="none"/>
        </w:rPr>
      </w:pPr>
    </w:p>
    <w:p w14:paraId="59480A3B" w14:textId="77777777" w:rsidR="00A50464" w:rsidRPr="00190BEF" w:rsidRDefault="00A50464" w:rsidP="00A50464">
      <w:pPr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</w:p>
    <w:p w14:paraId="3BBD58D1" w14:textId="77777777" w:rsidR="00A50464" w:rsidRDefault="00A50464" w:rsidP="00A50464">
      <w:pPr>
        <w:spacing w:before="540" w:after="540"/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</w:p>
    <w:p w14:paraId="7545B1A0" w14:textId="77777777" w:rsidR="00A50464" w:rsidRPr="00B30A50" w:rsidRDefault="00A50464" w:rsidP="00A50464">
      <w:pPr>
        <w:spacing w:before="540" w:after="540"/>
        <w:rPr>
          <w:rFonts w:eastAsia="Times New Roman" w:cstheme="minorHAnsi"/>
          <w:kern w:val="0"/>
          <w:sz w:val="24"/>
          <w:szCs w:val="24"/>
          <w:lang w:val="en-US" w:bidi="hi-IN"/>
          <w14:ligatures w14:val="none"/>
        </w:rPr>
      </w:pPr>
    </w:p>
    <w:p w14:paraId="638A38BE" w14:textId="77777777" w:rsidR="00A50464" w:rsidRDefault="00A50464" w:rsidP="00A50464">
      <w:pPr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val="en-US" w:bidi="hi-IN"/>
          <w14:ligatures w14:val="none"/>
        </w:rPr>
        <w:lastRenderedPageBreak/>
        <w:t xml:space="preserve">                   </w:t>
      </w:r>
      <w:r w:rsidRPr="00190BEF"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  <w:t>SYSTEM D</w:t>
      </w:r>
      <w:r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  <w:t xml:space="preserve">ESIGN </w:t>
      </w:r>
      <w:proofErr w:type="gramStart"/>
      <w:r>
        <w:rPr>
          <w:rFonts w:eastAsia="Times New Roman" w:cstheme="minorHAnsi"/>
          <w:b/>
          <w:bCs/>
          <w:kern w:val="0"/>
          <w:sz w:val="36"/>
          <w:szCs w:val="36"/>
          <w:u w:val="single"/>
          <w:lang w:val="en-US" w:bidi="hi-IN"/>
          <w14:ligatures w14:val="none"/>
        </w:rPr>
        <w:t>AND  COMPONENTS</w:t>
      </w:r>
      <w:proofErr w:type="gramEnd"/>
    </w:p>
    <w:p w14:paraId="48AFBAF9" w14:textId="77777777" w:rsidR="00A50464" w:rsidRDefault="00A50464" w:rsidP="00A50464">
      <w:pPr>
        <w:rPr>
          <w:rFonts w:eastAsia="Times New Roman" w:cstheme="minorHAnsi"/>
          <w:b/>
          <w:bCs/>
          <w:kern w:val="0"/>
          <w:sz w:val="28"/>
          <w:szCs w:val="28"/>
          <w:lang w:val="en-US" w:bidi="hi-IN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:lang w:val="en-US" w:bidi="hi-IN"/>
          <w14:ligatures w14:val="none"/>
        </w:rPr>
        <w:t>3.1-</w:t>
      </w:r>
      <w:r w:rsidRPr="00B02182">
        <w:rPr>
          <w:rFonts w:eastAsia="Times New Roman" w:cstheme="minorHAnsi"/>
          <w:b/>
          <w:bCs/>
          <w:kern w:val="0"/>
          <w:sz w:val="28"/>
          <w:szCs w:val="28"/>
          <w:lang w:val="en-US" w:bidi="hi-IN"/>
          <w14:ligatures w14:val="none"/>
        </w:rPr>
        <w:t>B</w:t>
      </w:r>
      <w:r>
        <w:rPr>
          <w:rFonts w:eastAsia="Times New Roman" w:cstheme="minorHAnsi"/>
          <w:b/>
          <w:bCs/>
          <w:kern w:val="0"/>
          <w:sz w:val="28"/>
          <w:szCs w:val="28"/>
          <w:lang w:val="en-US" w:bidi="hi-IN"/>
          <w14:ligatures w14:val="none"/>
        </w:rPr>
        <w:t>LOCK DIAGRAM:</w:t>
      </w:r>
    </w:p>
    <w:p w14:paraId="18A4B628" w14:textId="77777777" w:rsidR="00A50464" w:rsidRDefault="00A50464" w:rsidP="00A50464">
      <w:pPr>
        <w:rPr>
          <w:rFonts w:eastAsia="Times New Roman" w:cstheme="minorHAnsi"/>
          <w:noProof/>
          <w:kern w:val="0"/>
          <w:sz w:val="28"/>
          <w:szCs w:val="28"/>
          <w:lang w:val="en-US" w:bidi="hi-IN"/>
        </w:rPr>
      </w:pPr>
      <w:r>
        <w:rPr>
          <w:rFonts w:eastAsia="Times New Roman" w:cstheme="minorHAnsi"/>
          <w:noProof/>
          <w:kern w:val="0"/>
          <w:sz w:val="28"/>
          <w:szCs w:val="28"/>
          <w:lang w:val="en-US" w:bidi="hi-IN"/>
        </w:rPr>
        <w:t xml:space="preserve"> </w:t>
      </w:r>
      <w:r>
        <w:rPr>
          <w:rFonts w:eastAsia="Times New Roman" w:cstheme="minorHAnsi"/>
          <w:noProof/>
          <w:kern w:val="0"/>
          <w:sz w:val="28"/>
          <w:szCs w:val="28"/>
          <w:lang w:val="en-US" w:bidi="hi-IN"/>
        </w:rPr>
        <w:drawing>
          <wp:inline distT="0" distB="0" distL="0" distR="0" wp14:anchorId="01ECCBE4" wp14:editId="74569582">
            <wp:extent cx="5731510" cy="4147185"/>
            <wp:effectExtent l="0" t="0" r="2540" b="5715"/>
            <wp:docPr id="6031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3044" name="Picture 6031430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8530" w14:textId="77777777" w:rsidR="006278DE" w:rsidRDefault="006278DE"/>
    <w:sectPr w:rsidR="0062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64"/>
    <w:rsid w:val="006278DE"/>
    <w:rsid w:val="00737659"/>
    <w:rsid w:val="009073AA"/>
    <w:rsid w:val="009C5511"/>
    <w:rsid w:val="00A50464"/>
    <w:rsid w:val="00DF0EE2"/>
    <w:rsid w:val="00E3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728E"/>
  <w15:chartTrackingRefBased/>
  <w15:docId w15:val="{4F8A11C1-AA37-744D-9230-723EFFE0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464"/>
    <w:pPr>
      <w:spacing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4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4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46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46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46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46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46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46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46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4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46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46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5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46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50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alhudashaik@gmail.com</dc:creator>
  <cp:keywords/>
  <dc:description/>
  <cp:lastModifiedBy>alhudashaik@gmail.com</cp:lastModifiedBy>
  <cp:revision>1</cp:revision>
  <dcterms:created xsi:type="dcterms:W3CDTF">2026-08-23T06:29:00Z</dcterms:created>
  <dcterms:modified xsi:type="dcterms:W3CDTF">2026-08-23T06:29:00Z</dcterms:modified>
</cp:coreProperties>
</file>