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Research Highlights</w:t>
      </w:r>
    </w:p>
    <w:p>
      <w:pPr>
        <w:jc w:val="center"/>
      </w:pPr>
      <w:r>
        <w:rPr>
          <w:i/>
        </w:rPr>
        <w:t>Environmental Modelling &amp; Software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/>
    <w:p>
      <w:pPr>
        <w:pStyle w:val="ListBullet"/>
      </w:pPr>
      <w:r>
        <w:t>First framework coupling Subjective Logic algebra with multi-agent flood AI.</w:t>
      </w:r>
    </w:p>
    <w:p>
      <w:pPr>
        <w:pStyle w:val="ListBullet"/>
      </w:pPr>
      <w:r>
        <w:t>Partial projection guarantees monotonic uncertainty under missing modalities.</w:t>
      </w:r>
    </w:p>
    <w:p>
      <w:pPr>
        <w:pStyle w:val="ListBullet"/>
      </w:pPr>
      <w:r>
        <w:t>Brier-score credibility tracking prevents uncalibrated agent contributions.</w:t>
      </w:r>
    </w:p>
    <w:p>
      <w:pPr>
        <w:pStyle w:val="ListBullet"/>
      </w:pPr>
      <w:r>
        <w:t>Prevents minority-class collapse, outperforming LLM arbitration on floods.</w:t>
      </w:r>
    </w:p>
    <w:p>
      <w:pPr>
        <w:pStyle w:val="ListBullet"/>
      </w:pPr>
      <w:r>
        <w:t>DuckDB provenance ledger powers interactive per-cell explainability.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