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Ali Hamza </w:t>
      </w:r>
      <w:r>
        <w:t>(Corresponding Author)</w:t>
        <w:br/>
        <w:t>National University of Sciences and Technology (NUST)</w:t>
        <w:br/>
        <w:t>Islamabad, Pakistan</w:t>
        <w:br/>
        <w:t>Email: ahamza.msse25mcs@student.nust.edu.pk</w:t>
        <w:br/>
        <w:t>Date: July 30, 2026</w:t>
      </w:r>
    </w:p>
    <w:p/>
    <w:p>
      <w:r>
        <w:rPr>
          <w:b/>
        </w:rPr>
        <w:t>Editor-in-Chief</w:t>
        <w:br/>
        <w:t>International Journal of Disaster Risk Reduction (IJDRR)</w:t>
        <w:br/>
        <w:t>Elsevier B.V.</w:t>
      </w:r>
    </w:p>
    <w:p/>
    <w:p>
      <w:r>
        <w:rPr>
          <w:b/>
        </w:rPr>
        <w:t>Subject: Manuscript Submission — “AEGIS: Evidential Multi-Agent Orchestration for Multimodal Urban Flood Assessment”</w:t>
      </w:r>
    </w:p>
    <w:p>
      <w:r>
        <w:t>Dear Editor-in-Chief,</w:t>
      </w:r>
    </w:p>
    <w:p>
      <w:r>
        <w:t>We are pleased to submit our original research manuscript titled “AEGIS: Evidential Multi-Agent Orchestration for Multimodal Urban Flood Assessment” for consideration as a regular research article in International Journal of Disaster Risk Reduction (IJDRR).</w:t>
      </w:r>
    </w:p>
    <w:p>
      <w:r>
        <w:t>Operational flood decision-support systems must fuse heterogeneous multi-modal data streams (satellite radar, optical imagery, reanalysis climate forecasts, terrain rasters, gauge networks, and unstructured bulletins) under frequent sensor dropout and inter-source disagreement. Contemporary LLM-arbitrated agentic pipelines suffer from four critical operational vulnerabilities: (1) minority-class collapse on critical inundation states, (2) uncalibrated probability estimation and silent hallucination under missing modalities, (3) lack of per-agent credibility propagation, and (4) absence of source-level provenance trails.</w:t>
      </w:r>
    </w:p>
    <w:p>
      <w:r>
        <w:t>In this work, we present AEGIS (Agentic Evidential Geographic Intelligence for Sustainability), a novel framework interfacing Subjective Logic operator algebra with a specialist five-agent catalog over a shared four-state Dirichlet frame.</w:t>
      </w:r>
    </w:p>
    <w:p>
      <w:pPr>
        <w:pStyle w:val="ListBullet"/>
      </w:pPr>
      <w:r>
        <w:t>Evidential Multi-Agent Orchestration: Combining Consensus &amp; Compromise Fusion (CCF) and Weighted Belief Fusion (WBF) driven by a dynamic Jensen–Shannon divergence signal.</w:t>
      </w:r>
    </w:p>
    <w:p>
      <w:pPr>
        <w:pStyle w:val="ListBullet"/>
      </w:pPr>
      <w:r>
        <w:t>Monotonic Uncertainty Guarantee: Utilizing a partial-observable projection rule that mathematically guarantees epistemic uncertainty u grows monotonically as modalities drop.</w:t>
      </w:r>
    </w:p>
    <w:p>
      <w:pPr>
        <w:pStyle w:val="ListBullet"/>
      </w:pPr>
      <w:r>
        <w:t>Brier-Score Credibility Propagation: Online tracking of agent reputation to weight fusion decisions dynamically without manual threshold tuning.</w:t>
      </w:r>
    </w:p>
    <w:p>
      <w:pPr>
        <w:pStyle w:val="ListBullet"/>
      </w:pPr>
      <w:r>
        <w:t>Provenance-Aware Explainability: A DuckDB-backed provenance ledger powering an interactive spatial dashboard for source-level auditing.</w:t>
      </w:r>
    </w:p>
    <w:p>
      <w:r>
        <w:t>We evaluate AEGIS on the benchmark Brisbane February–March 2022 flood fold (200 cells x 24 days = 4,800 cell-day instances). AEGIS-SL achieves an F1-Macro of 0.7190, AUROC of 0.9310, and Expected Calibration Error (ECE) of 0.043, outperforming monolithic raw-feature late-fusion baselines and demonstrating strong robustness against minority-class collapse where LLM arbiters fail.</w:t>
      </w:r>
    </w:p>
    <w:p>
      <w:r>
        <w:t>We confirm that:</w:t>
      </w:r>
    </w:p>
    <w:p>
      <w:pPr>
        <w:pStyle w:val="ListBullet"/>
      </w:pPr>
      <w:r>
        <w:t>This manuscript is original, has not been published previously, and is not currently under consideration for publication elsewhere.</w:t>
      </w:r>
    </w:p>
    <w:p>
      <w:pPr>
        <w:pStyle w:val="ListBullet"/>
      </w:pPr>
      <w:r>
        <w:t>All co-authors (Ali Hamza and Ghulam Mujtaba) have read, approved, and agreed to the submission of this manuscript to International Journal of Disaster Risk Reduction.</w:t>
      </w:r>
    </w:p>
    <w:p>
      <w:pPr>
        <w:pStyle w:val="ListBullet"/>
      </w:pPr>
      <w:r>
        <w:t>There are no financial or personal conflicts of interest to declare.</w:t>
      </w:r>
    </w:p>
    <w:p>
      <w:r>
        <w:t>Thank you for considering our work. We look forward to hearing from you regarding the review process.</w:t>
      </w:r>
    </w:p>
    <w:p>
      <w:r>
        <w:t>Sincerely,</w:t>
        <w:br/>
        <w:br/>
      </w:r>
      <w:r>
        <w:rPr>
          <w:b/>
        </w:rPr>
        <w:t>Ali Hamza</w:t>
        <w:br/>
      </w:r>
      <w:r>
        <w:t>Corresponding Author</w:t>
        <w:br/>
        <w:t>National University of Sciences and Technology (NUST), Islamabad, Pakistan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