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F4E78"/>
          <w:sz w:val="32"/>
        </w:rPr>
        <w:t>Letter to the Editor-in-Chief</w:t>
      </w:r>
    </w:p>
    <w:p>
      <w:pPr>
        <w:spacing w:after="120"/>
      </w:pPr>
      <w:r>
        <w:rPr>
          <w:rFonts w:ascii="Calibri" w:hAnsi="Calibri"/>
          <w:color w:val="2E75B6"/>
          <w:sz w:val="21"/>
        </w:rPr>
        <w:t>Clarification Regarding In-Text Table Integration Pursuant to Reviewer Directives</w:t>
      </w:r>
    </w:p>
    <w:tbl>
      <w:tblPr>
        <w:tblW w:type="auto" w:w="0"/>
        <w:tblLayout w:type="fixed"/>
        <w:tblLook w:firstColumn="1" w:firstRow="1" w:lastColumn="0" w:lastRow="0" w:noHBand="0" w:noVBand="1" w:val="04A0"/>
      </w:tblPr>
      <w:tblGrid>
        <w:gridCol w:w="4896"/>
        <w:gridCol w:w="4896"/>
      </w:tblGrid>
      <w:tr>
        <w:tc>
          <w:tcPr>
            <w:tcW w:type="dxa" w:w="4968"/>
            <w:shd w:fill="F4F6F9"/>
          </w:tcPr>
          <w:p>
            <w:pPr>
              <w:spacing w:before="40" w:after="40"/>
            </w:pPr>
            <w:r>
              <w:rPr>
                <w:rFonts w:ascii="Calibri" w:hAnsi="Calibri"/>
                <w:b/>
                <w:color w:val="1F4E78"/>
                <w:sz w:val="19"/>
              </w:rPr>
              <w:t xml:space="preserve">Journal: </w:t>
            </w:r>
            <w:r>
              <w:rPr>
                <w:rFonts w:ascii="Calibri" w:hAnsi="Calibri"/>
                <w:sz w:val="19"/>
              </w:rPr>
              <w:t>Expert Systems (Wiley Blackwell)</w:t>
            </w:r>
          </w:p>
        </w:tc>
        <w:tc>
          <w:tcPr>
            <w:tcW w:type="dxa" w:w="4968"/>
            <w:shd w:fill="F4F6F9"/>
          </w:tcPr>
          <w:p>
            <w:pPr>
              <w:spacing w:before="40" w:after="40"/>
            </w:pPr>
            <w:r>
              <w:rPr>
                <w:rFonts w:ascii="Calibri" w:hAnsi="Calibri"/>
                <w:b/>
                <w:color w:val="1F4E78"/>
                <w:sz w:val="19"/>
              </w:rPr>
              <w:t xml:space="preserve">Manuscript Reference: </w:t>
            </w:r>
            <w:r>
              <w:rPr>
                <w:rFonts w:ascii="Calibri" w:hAnsi="Calibri"/>
                <w:sz w:val="19"/>
              </w:rPr>
              <w:t>2961684 (Minor Revision)</w:t>
            </w:r>
          </w:p>
        </w:tc>
      </w:tr>
      <w:tr>
        <w:tc>
          <w:tcPr>
            <w:tcW w:type="dxa" w:w="4968"/>
            <w:shd w:fill="F4F6F9"/>
          </w:tcPr>
          <w:p>
            <w:pPr>
              <w:spacing w:before="40" w:after="40"/>
            </w:pPr>
            <w:r>
              <w:rPr>
                <w:rFonts w:ascii="Calibri" w:hAnsi="Calibri"/>
                <w:b/>
                <w:color w:val="1F4E78"/>
                <w:sz w:val="19"/>
              </w:rPr>
              <w:t xml:space="preserve">Title: </w:t>
            </w:r>
            <w:r>
              <w:rPr>
                <w:rFonts w:ascii="Calibri" w:hAnsi="Calibri"/>
                <w:sz w:val="19"/>
              </w:rPr>
              <w:t>Legalyze: An Open-Source Structure-Aware Agentic RAG Platform...</w:t>
            </w:r>
          </w:p>
        </w:tc>
        <w:tc>
          <w:tcPr>
            <w:tcW w:type="dxa" w:w="4968"/>
            <w:shd w:fill="F4F6F9"/>
          </w:tcPr>
          <w:p>
            <w:pPr>
              <w:spacing w:before="40" w:after="40"/>
            </w:pPr>
            <w:r>
              <w:rPr>
                <w:rFonts w:ascii="Calibri" w:hAnsi="Calibri"/>
                <w:b/>
                <w:color w:val="1F4E78"/>
                <w:sz w:val="19"/>
              </w:rPr>
              <w:t xml:space="preserve">Date: </w:t>
            </w:r>
            <w:r>
              <w:rPr>
                <w:rFonts w:ascii="Calibri" w:hAnsi="Calibri"/>
                <w:sz w:val="19"/>
              </w:rPr>
              <w:t>August 20, 2026</w:t>
            </w:r>
          </w:p>
        </w:tc>
      </w:tr>
    </w:tbl>
    <w:p>
      <w:pPr>
        <w:spacing w:after="80"/>
      </w:pPr>
    </w:p>
    <w:p>
      <w:pPr>
        <w:spacing w:before="60" w:after="60" w:line="276" w:lineRule="auto"/>
        <w:jc w:val="both"/>
      </w:pPr>
      <w:r>
        <w:rPr>
          <w:rFonts w:ascii="Calibri" w:hAnsi="Calibri"/>
          <w:i w:val="0"/>
          <w:color w:val="222222"/>
          <w:sz w:val="20"/>
        </w:rPr>
        <w:t>Dear Editor-in-Chief and Editorial Board,</w:t>
      </w:r>
    </w:p>
    <w:p>
      <w:pPr>
        <w:spacing w:before="60" w:after="60" w:line="276" w:lineRule="auto"/>
        <w:jc w:val="both"/>
      </w:pPr>
      <w:r>
        <w:rPr>
          <w:rFonts w:ascii="Calibri" w:hAnsi="Calibri"/>
          <w:i w:val="0"/>
          <w:color w:val="222222"/>
          <w:sz w:val="20"/>
        </w:rPr>
        <w:t>On behalf of all co-authors, we submit our revised manuscript for Expert Systems (Wiley Blackwell). We write this letter to provide an important clarification regarding our submission format, specifically concerning the presentation of tables directly within the main manuscript document rather than as detached supplementary files.</w:t>
      </w:r>
    </w:p>
    <w:p>
      <w:pPr>
        <w:spacing w:before="60" w:after="60" w:line="276" w:lineRule="auto"/>
        <w:jc w:val="both"/>
      </w:pPr>
      <w:r>
        <w:rPr>
          <w:rFonts w:ascii="Calibri" w:hAnsi="Calibri"/>
          <w:i w:val="0"/>
          <w:color w:val="222222"/>
          <w:sz w:val="20"/>
        </w:rPr>
        <w:t>In the previous review round, Reviewer 2 explicitly instructed us to fully integrate all tables and figures directly into the text body to restore readability and eliminate placeholders. The reviewer's comment is reproduced verbatim below:</w:t>
      </w:r>
    </w:p>
    <w:tbl>
      <w:tblPr>
        <w:tblW w:type="auto" w:w="0"/>
        <w:tblLook w:firstColumn="1" w:firstRow="1" w:lastColumn="0" w:lastRow="0" w:noHBand="0" w:noVBand="1" w:val="04A0"/>
      </w:tblPr>
      <w:tblGrid>
        <w:gridCol w:w="9936"/>
      </w:tblGrid>
      <w:tr>
        <w:tc>
          <w:tcPr>
            <w:tcW w:type="dxa" w:w="9936"/>
            <w:shd w:fill="F0F4F8"/>
            <w:tcBorders>
              <w:top w:val="none"/>
              <w:left w:val="single" w:sz="24" w:space="0" w:color="1F4E78"/>
              <w:bottom w:val="none"/>
              <w:right w:val="none"/>
            </w:tcBorders>
          </w:tcPr>
          <w:p>
            <w:pPr>
              <w:spacing w:before="80" w:after="80"/>
              <w:jc w:val="both"/>
            </w:pPr>
            <w:r>
              <w:rPr>
                <w:rFonts w:ascii="Calibri" w:hAnsi="Calibri"/>
                <w:b/>
                <w:color w:val="1F4E78"/>
                <w:sz w:val="19"/>
              </w:rPr>
              <w:t>1. Please complete the integration of tables, figures, and cross-references.</w:t>
              <w:br/>
            </w:r>
            <w:r>
              <w:rPr>
                <w:rFonts w:ascii="Calibri" w:hAnsi="Calibri"/>
                <w:i/>
                <w:color w:val="333333"/>
                <w:sz w:val="19"/>
              </w:rPr>
              <w:t>The revised manuscript still contains several unresolved placeholders, including '??,' 'Table 1 goes here,' 'Table 3 goes here,' and similar statements for Tables 2, 4, and 5. These appear in the literature review, evaluation framework, Results section, and retrieval ablation section. All tables should be inserted into the main manuscript, numbered consistently, and cited at the appropriate locations. The same applies to the references to the qualitative comparison and domain-level results.</w:t>
              <w:br/>
              <w:t>This is primarily a production issue, but it currently interrupts the flow of the paper and makes some claims difficult to trace.</w:t>
            </w:r>
          </w:p>
        </w:tc>
      </w:tr>
    </w:tbl>
    <w:p>
      <w:pPr>
        <w:spacing w:before="60" w:after="60" w:line="276" w:lineRule="auto"/>
        <w:jc w:val="both"/>
      </w:pPr>
      <w:r>
        <w:rPr>
          <w:rFonts w:ascii="Calibri" w:hAnsi="Calibri"/>
          <w:b/>
          <w:color w:val="1F4E78"/>
          <w:sz w:val="20"/>
        </w:rPr>
        <w:t xml:space="preserve">Author's Action &amp; Methodological Rationale: </w:t>
      </w:r>
      <w:r>
        <w:rPr>
          <w:rFonts w:ascii="Calibri" w:hAnsi="Calibri"/>
          <w:i w:val="0"/>
          <w:color w:val="222222"/>
          <w:sz w:val="20"/>
        </w:rPr>
        <w:t>In strict compliance with this explicit revision requirement, we have fully incorporated all five tables (Table 1: Literature Review, Table 2: Groundedness vs. Accuracy Matrix, Table 3: Domain Hallucination Rates, Table 4: Qualitative Query Comparison, and Table 5: Retrieval Ablation) directly into the main LaTeX document body at their logical positions. Every table is formatted as an active floating environment with full captioning, and all cross-references have been resolved with zero placeholders remaining.</w:t>
      </w:r>
    </w:p>
    <w:p>
      <w:pPr>
        <w:spacing w:before="60" w:after="60" w:line="276" w:lineRule="auto"/>
        <w:jc w:val="both"/>
      </w:pPr>
      <w:r>
        <w:rPr>
          <w:rFonts w:ascii="Calibri" w:hAnsi="Calibri"/>
          <w:i w:val="0"/>
          <w:color w:val="222222"/>
          <w:sz w:val="20"/>
        </w:rPr>
        <w:t>Because this direct in-text integration was requested by the reviewer as a core revision requirement to ensure contextual flow and readability, the main manuscript PDF represents the unified, complete document. We kindly request the editorial office and production team to accept this integrated formatting as required by the peer-review process. Should the production office also require detached individual table files, we have also compiled and archived standalone table PDFs for editorial convenience.</w:t>
      </w:r>
    </w:p>
    <w:p>
      <w:pPr>
        <w:spacing w:before="60" w:after="60" w:line="276" w:lineRule="auto"/>
        <w:jc w:val="both"/>
      </w:pPr>
      <w:r>
        <w:rPr>
          <w:rFonts w:ascii="Calibri" w:hAnsi="Calibri"/>
          <w:i w:val="0"/>
          <w:color w:val="222222"/>
          <w:sz w:val="20"/>
        </w:rPr>
        <w:t>We thank you and the reviewers for your invaluable guidance in refining our work.</w:t>
      </w:r>
    </w:p>
    <w:p>
      <w:pPr>
        <w:spacing w:before="120"/>
      </w:pPr>
      <w:r>
        <w:rPr>
          <w:rFonts w:ascii="Calibri" w:hAnsi="Calibri"/>
          <w:color w:val="1F4E78"/>
          <w:sz w:val="19"/>
        </w:rPr>
        <w:t>Sincerely,</w:t>
        <w:br/>
        <w:t>Ali Hamza (Corresponding Author) - ali.hamza@mcs.edu.pk</w:t>
        <w:br/>
        <w:t>Department of Computer Software Engineering, Military College of Signals (MCS),</w:t>
        <w:br/>
        <w:t>National University of Sciences and Technology (NUST), Islamabad, Pakistan</w:t>
        <w:br/>
        <w:t>On behalf of co-authors: Maaz Bin Rizwan, Maemoona Kayani, and Shafa-at Ali Sheikh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