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Proposal: Enterprise RAG Implementation</w:t>
      </w:r>
    </w:p>
    <w:p>
      <w:pPr>
        <w:pStyle w:val="Heading1"/>
      </w:pPr>
      <w:r>
        <w:t>Executive Summary</w:t>
      </w:r>
    </w:p>
    <w:p>
      <w:r>
        <w:t>This project aims to implement a state-of-the-art Retrieval-Augmented Generation (RAG) system for enterprise knowledge management. The system will enable employees to query internal documentation, research reports, and technical manuals with high accuracy and source attribution.</w:t>
      </w:r>
    </w:p>
    <w:p>
      <w:pPr>
        <w:pStyle w:val="Heading1"/>
      </w:pPr>
      <w:r>
        <w:t>Key Objectives</w:t>
      </w:r>
    </w:p>
    <w:p>
      <w:pPr>
        <w:pStyle w:val="ListBullet"/>
      </w:pPr>
      <w:r>
        <w:t>Seamless ingestion of multi-format documents (PDF, DOCX, CSV, SQL).</w:t>
      </w:r>
    </w:p>
    <w:p>
      <w:pPr>
        <w:pStyle w:val="ListBullet"/>
      </w:pPr>
      <w:r>
        <w:t>Semantic chunking preserving document hierarchy and table structure.</w:t>
      </w:r>
    </w:p>
    <w:p>
      <w:pPr>
        <w:pStyle w:val="ListBullet"/>
      </w:pPr>
      <w:r>
        <w:t>Sub-second vector retrieval with hybrid dense-sparse search.</w:t>
      </w:r>
    </w:p>
    <w:p>
      <w:pPr>
        <w:pStyle w:val="Heading1"/>
      </w:pPr>
      <w:r>
        <w:t>Project Timeline &amp; Budget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Data Ingestion &amp; Parsing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  <w:tc>
          <w:tcPr>
            <w:tcW w:type="dxa" w:w="2160"/>
          </w:tcPr>
          <w:p>
            <w:r>
              <w:t>\,000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Vector DB &amp; Retrieval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\,000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Evaluation &amp; Guardrails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  <w:tc>
          <w:tcPr>
            <w:tcW w:type="dxa" w:w="2160"/>
          </w:tcPr>
          <w:p>
            <w:r>
              <w:t>\,000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