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media/image1.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rFonts w:ascii="Calibri" w:hAnsi="Calibri" w:cs="Calibri" w:asciiTheme="majorHAnsi" w:cstheme="majorHAnsi" w:hAnsiTheme="majorHAnsi"/>
        </w:rPr>
      </w:pPr>
      <w:r>
        <w:rPr>
          <w:rFonts w:cs="Calibri" w:cstheme="majorHAnsi"/>
        </w:rPr>
      </w:r>
    </w:p>
    <w:p>
      <w:pPr>
        <w:pStyle w:val="Normal"/>
        <w:spacing w:before="160" w:after="160"/>
        <w:jc w:val="center"/>
        <w:rPr>
          <w:rFonts w:ascii="Calibri" w:hAnsi="Calibri" w:cs="Calibri" w:asciiTheme="majorHAnsi" w:cstheme="majorHAnsi" w:hAnsiTheme="majorHAnsi"/>
        </w:rPr>
      </w:pPr>
      <w:r>
        <w:rPr>
          <w:rFonts w:eastAsia="Calibri" w:cs="Calibri" w:cstheme="majorHAnsi"/>
          <w:b/>
          <w:color w:val="000000"/>
          <w:sz w:val="48"/>
        </w:rPr>
        <w:t>VTC System Security Plan</w:t>
      </w:r>
    </w:p>
    <w:p>
      <w:pPr>
        <w:pStyle w:val="Normal"/>
        <w:jc w:val="center"/>
        <w:rPr>
          <w:rFonts w:ascii="Calibri" w:hAnsi="Calibri" w:cs="Calibri" w:asciiTheme="majorHAnsi" w:cstheme="majorHAnsi" w:hAnsiTheme="majorHAnsi"/>
        </w:rPr>
      </w:pPr>
      <w:r>
        <w:rPr>
          <w:rFonts w:eastAsia="Calibri" w:cs="Calibri" w:cstheme="majorHAnsi"/>
          <w:b/>
          <w:color w:val="000000"/>
          <w:sz w:val="36"/>
        </w:rPr>
        <w:t>(VTC-IMS-SSP-993)</w:t>
      </w:r>
    </w:p>
    <w:p>
      <w:pPr>
        <w:pStyle w:val="Normal"/>
        <w:spacing w:before="0" w:after="520"/>
        <w:rPr>
          <w:rFonts w:ascii="Calibri" w:hAnsi="Calibri" w:cs="Calibri" w:asciiTheme="majorHAnsi" w:cstheme="majorHAnsi" w:hAnsiTheme="majorHAnsi"/>
        </w:rPr>
      </w:pPr>
      <w:r>
        <w:rPr>
          <w:rFonts w:cs="Calibri" w:cstheme="majorHAnsi"/>
        </w:rPr>
      </w:r>
    </w:p>
    <w:tbl>
      <w:tblPr>
        <w:tblW w:w="993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68"/>
        <w:gridCol w:w="4967"/>
      </w:tblGrid>
      <w:tr>
        <w:trPr>
          <w:tblHeader w:val="true"/>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DOCUMENT NO:</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color w:val="000000"/>
                <w:sz w:val="21"/>
                <w:szCs w:val="21"/>
              </w:rPr>
              <w:t>VTC-IMS-SSP-993</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REVISION NO:</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widowControl/>
              <w:suppressAutoHyphens w:val="true"/>
              <w:bidi w:val="0"/>
              <w:spacing w:lineRule="auto" w:line="259" w:before="0" w:after="100"/>
              <w:jc w:val="start"/>
              <w:rPr/>
            </w:pPr>
            <w:r>
              <w:rPr>
                <w:rFonts w:eastAsia="Calibri" w:cs="Calibri"/>
                <w:sz w:val="20"/>
              </w:rPr>
              <w:t>5.4</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DATE OF REVISION:</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widowControl/>
              <w:suppressAutoHyphens w:val="true"/>
              <w:bidi w:val="0"/>
              <w:spacing w:lineRule="auto" w:line="259" w:before="0" w:after="100"/>
              <w:jc w:val="start"/>
              <w:rPr/>
            </w:pPr>
            <w:r>
              <w:rPr>
                <w:rFonts w:eastAsia="Calibri" w:cs="Calibri"/>
                <w:sz w:val="20"/>
              </w:rPr>
              <w:t>07/20/2026</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PREPARED BY:</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sz w:val="21"/>
                <w:szCs w:val="21"/>
              </w:rPr>
              <w:t>Patrick Hanner and Joseph Murray</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REVIEWED BY:</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color w:val="000000"/>
                <w:sz w:val="21"/>
                <w:szCs w:val="21"/>
              </w:rPr>
              <w:t>Patrick Hanner</w:t>
            </w:r>
          </w:p>
        </w:tc>
      </w:tr>
      <w:tr>
        <w:trPr>
          <w:cantSplit w:val="true"/>
        </w:trPr>
        <w:tc>
          <w:tcPr>
            <w:tcW w:w="4968" w:type="dxa"/>
            <w:tcBorders>
              <w:top w:val="single" w:sz="8" w:space="0" w:color="000000"/>
              <w:start w:val="single" w:sz="8" w:space="0" w:color="000000"/>
              <w:bottom w:val="single" w:sz="8" w:space="0" w:color="000000"/>
              <w:end w:val="single" w:sz="8" w:space="0" w:color="000000"/>
            </w:tcBorders>
            <w:shd w:color="auto" w:fill="0070C0" w:val="clear"/>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b/>
                <w:color w:val="FFFFFF"/>
                <w:sz w:val="21"/>
                <w:szCs w:val="21"/>
              </w:rPr>
              <w:t>APPROVED BY:</w:t>
            </w:r>
          </w:p>
        </w:tc>
        <w:tc>
          <w:tcPr>
            <w:tcW w:w="4967" w:type="dxa"/>
            <w:tcBorders>
              <w:top w:val="single" w:sz="8" w:space="0" w:color="000000"/>
              <w:start w:val="single" w:sz="8" w:space="0" w:color="000000"/>
              <w:bottom w:val="single" w:sz="8" w:space="0" w:color="000000"/>
              <w:end w:val="single" w:sz="8" w:space="0" w:color="000000"/>
            </w:tcBorders>
            <w:vAlign w:val="center"/>
          </w:tcPr>
          <w:p>
            <w:pPr>
              <w:pStyle w:val="Normal"/>
              <w:keepLines/>
              <w:spacing w:before="0" w:after="100"/>
              <w:rPr>
                <w:rFonts w:ascii="Calibri" w:hAnsi="Calibri" w:cs="Calibri" w:asciiTheme="majorHAnsi" w:cstheme="majorHAnsi" w:hAnsiTheme="majorHAnsi"/>
                <w:sz w:val="21"/>
                <w:szCs w:val="21"/>
              </w:rPr>
            </w:pPr>
            <w:r>
              <w:rPr>
                <w:rFonts w:eastAsia="Calibri" w:cs="Calibri" w:cstheme="majorHAnsi"/>
                <w:color w:val="000000"/>
                <w:sz w:val="21"/>
                <w:szCs w:val="21"/>
              </w:rPr>
              <w:t>James Marshall</w:t>
            </w:r>
          </w:p>
        </w:tc>
      </w:tr>
    </w:tbl>
    <w:p>
      <w:pPr>
        <w:pStyle w:val="Normal"/>
        <w:rPr>
          <w:rFonts w:ascii="Calibri" w:hAnsi="Calibri" w:cs="Calibri" w:asciiTheme="majorHAnsi" w:cstheme="majorHAnsi" w:hAnsiTheme="majorHAnsi"/>
        </w:rPr>
      </w:pPr>
      <w:r>
        <w:rPr>
          <w:rFonts w:cs="Calibri" w:cstheme="majorHAnsi"/>
        </w:rPr>
      </w:r>
      <w:r>
        <w:br w:type="page"/>
      </w:r>
    </w:p>
    <w:p>
      <w:pPr>
        <w:pStyle w:val="Heading1"/>
        <w:spacing w:before="0" w:after="100"/>
        <w:rPr>
          <w:rFonts w:cs="Calibri" w:cstheme="majorHAnsi"/>
        </w:rPr>
      </w:pPr>
      <w:bookmarkStart w:id="0" w:name="__RefHeading___Toc4595_3414231214"/>
      <w:bookmarkStart w:id="1" w:name="_Toc235338109"/>
      <w:bookmarkEnd w:id="0"/>
      <w:r>
        <w:rPr>
          <w:rFonts w:eastAsia="Calibri" w:cs="Calibri" w:cstheme="majorHAnsi"/>
          <w:sz w:val="20"/>
        </w:rPr>
        <w:t>Revision History</w:t>
      </w:r>
      <w:bookmarkEnd w:id="1"/>
    </w:p>
    <w:tbl>
      <w:tblPr>
        <w:tblW w:w="10366" w:type="dxa"/>
        <w:jc w:val="center"/>
        <w:tblInd w:w="0" w:type="dxa"/>
        <w:tblLayout w:type="fixed"/>
        <w:tblCellMar>
          <w:top w:w="55" w:type="dxa"/>
          <w:start w:w="45" w:type="dxa"/>
          <w:bottom w:w="55" w:type="dxa"/>
          <w:end w:w="45" w:type="dxa"/>
        </w:tblCellMar>
        <w:tblLook w:val="04a0" w:noHBand="0" w:noVBand="1" w:firstColumn="1" w:lastRow="0" w:lastColumn="0" w:firstRow="1"/>
      </w:tblPr>
      <w:tblGrid>
        <w:gridCol w:w="790"/>
        <w:gridCol w:w="1361"/>
        <w:gridCol w:w="1448"/>
        <w:gridCol w:w="5110"/>
        <w:gridCol w:w="1657"/>
      </w:tblGrid>
      <w:tr>
        <w:trPr>
          <w:tblHeader w:val="true"/>
          <w:cantSplit w:val="true"/>
        </w:trPr>
        <w:tc>
          <w:tcPr>
            <w:tcW w:w="790"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REV NO</w:t>
            </w:r>
          </w:p>
        </w:tc>
        <w:tc>
          <w:tcPr>
            <w:tcW w:w="1361"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REV DATE</w:t>
            </w:r>
          </w:p>
        </w:tc>
        <w:tc>
          <w:tcPr>
            <w:tcW w:w="1448"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SECTION</w:t>
            </w:r>
          </w:p>
        </w:tc>
        <w:tc>
          <w:tcPr>
            <w:tcW w:w="5110"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SUMMARY OF CHANGES</w:t>
            </w:r>
          </w:p>
        </w:tc>
        <w:tc>
          <w:tcPr>
            <w:tcW w:w="1657" w:type="dxa"/>
            <w:tcBorders>
              <w:top w:val="single" w:sz="6" w:space="0" w:color="000000"/>
              <w:start w:val="single" w:sz="6" w:space="0" w:color="000000"/>
              <w:bottom w:val="single" w:sz="6" w:space="0" w:color="000000"/>
              <w:end w:val="single" w:sz="6" w:space="0" w:color="00000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AUTHORIZED BY</w:t>
            </w:r>
          </w:p>
        </w:tc>
      </w:tr>
      <w:tr>
        <w:trPr>
          <w:cantSplit w:val="true"/>
        </w:trPr>
        <w:tc>
          <w:tcPr>
            <w:tcW w:w="790"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3.0</w:t>
            </w:r>
          </w:p>
        </w:tc>
        <w:tc>
          <w:tcPr>
            <w:tcW w:w="1361"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07/15/2026</w:t>
            </w:r>
          </w:p>
        </w:tc>
        <w:tc>
          <w:tcPr>
            <w:tcW w:w="1448"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All</w:t>
            </w:r>
          </w:p>
        </w:tc>
        <w:tc>
          <w:tcPr>
            <w:tcW w:w="5110"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Prior SSP source revision used as implementation basis.</w:t>
            </w:r>
          </w:p>
        </w:tc>
        <w:tc>
          <w:tcPr>
            <w:tcW w:w="1657" w:type="dxa"/>
            <w:tcBorders>
              <w:top w:val="single" w:sz="6" w:space="0" w:color="000000"/>
              <w:start w:val="single" w:sz="6" w:space="0" w:color="000000"/>
              <w:bottom w:val="single" w:sz="6" w:space="0" w:color="000000"/>
              <w:end w:val="single" w:sz="6" w:space="0" w:color="00000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James Marshall</w:t>
            </w:r>
          </w:p>
        </w:tc>
      </w:tr>
      <w:tr>
        <w:trPr>
          <w:cantSplit w:val="true"/>
        </w:trPr>
        <w:tc>
          <w:tcPr>
            <w:tcW w:w="790"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4.0</w:t>
            </w:r>
          </w:p>
        </w:tc>
        <w:tc>
          <w:tcPr>
            <w:tcW w:w="1361"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07/15/2026</w:t>
            </w:r>
          </w:p>
        </w:tc>
        <w:tc>
          <w:tcPr>
            <w:tcW w:w="1448"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All</w:t>
            </w:r>
          </w:p>
        </w:tc>
        <w:tc>
          <w:tcPr>
            <w:tcW w:w="5110"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Consolidated audit-ready release; corrected scope, mappings, architecture, status and evidence references.</w:t>
            </w:r>
          </w:p>
        </w:tc>
        <w:tc>
          <w:tcPr>
            <w:tcW w:w="1657" w:type="dxa"/>
            <w:tcBorders>
              <w:top w:val="single" w:sz="6" w:space="0" w:color="000000"/>
              <w:start w:val="single" w:sz="6" w:space="0" w:color="000000"/>
              <w:bottom w:val="single" w:sz="6" w:space="0" w:color="000000"/>
              <w:end w:val="single" w:sz="6" w:space="0" w:color="00000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James Marshall</w:t>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5.0</w:t>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07/17/2026</w:t>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All / Appendix A-B</w:t>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Pre-assessment release; incorporated all 110 requirement narratives and NIST 800-53 mappings, and aligned references to the final scope, inventory, diagrams, CRM, RBAC, risk, POA&amp;M and readiness package.</w:t>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James Marshall</w:t>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5.1</w:t>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07/18/2026</w:t>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Section 8 / Appendix A</w:t>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Incorporated DFARS compliance status notation (Met, Not Met, and Not Applicable) into the existing VTC SSP.</w:t>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James Marshall</w:t>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5.2</w:t>
            </w:r>
          </w:p>
        </w:tc>
        <w:tc>
          <w:tcPr>
            <w:tcW w:w="136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07/18/2026</w:t>
            </w:r>
          </w:p>
        </w:tc>
        <w:tc>
          <w:tcPr>
            <w:tcW w:w="144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Sections 2-10 / Appendix A-B</w:t>
            </w:r>
          </w:p>
        </w:tc>
        <w:tc>
          <w:tcPr>
            <w:tcW w:w="511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Aligned the SSP to the implemented enclave configuration: scoped the designated Exchange CUI workflow and Control HUB SPA/ESP; reclassified controlled cloud and nonlocal maintenance access; documented local privileged MFA, endpoint audit retention/review, FIPS module evidence, BYOD denial, and the current endpoint baseline.</w:t>
            </w:r>
          </w:p>
        </w:tc>
        <w:tc>
          <w:tcPr>
            <w:tcW w:w="16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0"/>
              <w:rPr>
                <w:rFonts w:ascii="Calibri" w:hAnsi="Calibri" w:cs="Calibri" w:asciiTheme="majorHAnsi" w:cstheme="majorHAnsi" w:hAnsiTheme="majorHAnsi"/>
                <w:sz w:val="20"/>
                <w:szCs w:val="20"/>
              </w:rPr>
            </w:pPr>
            <w:r>
              <w:rPr>
                <w:rFonts w:eastAsia="Calibri" w:cs="Calibri" w:cstheme="majorHAnsi"/>
                <w:sz w:val="20"/>
                <w:szCs w:val="20"/>
              </w:rPr>
              <w:t>James Marshall</w:t>
            </w:r>
          </w:p>
        </w:tc>
      </w:tr>
      <w:tr>
        <w:trPr/>
        <w:tc>
          <w:tcPr>
            <w:tcW w:w="79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5.3</w:t>
            </w:r>
          </w:p>
        </w:tc>
        <w:tc>
          <w:tcPr>
            <w:tcW w:w="1361"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07/20/2026</w:t>
            </w:r>
          </w:p>
        </w:tc>
        <w:tc>
          <w:tcPr>
            <w:tcW w:w="1448"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Sections 1, 5-10 / Appendix A-B</w:t>
            </w:r>
          </w:p>
        </w:tc>
        <w:tc>
          <w:tcPr>
            <w:tcW w:w="511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Reconciled SSP-993 with SSP-991 and external review comments; added evidence-maturity and independent-review language; documented separate administrator identities and compensating separation of duties; corrected collaborative-device/VoIP status; replaced generic evidence expectations with control-specific artifacts/tests; referenced objective-level traceability in SSP-991 Rev. 2.0.</w:t>
            </w:r>
          </w:p>
        </w:tc>
        <w:tc>
          <w:tcPr>
            <w:tcW w:w="1657"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James Marshall</w:t>
            </w:r>
          </w:p>
        </w:tc>
      </w:tr>
      <w:tr>
        <w:trPr>
          <w:cantSplit w:val="true"/>
        </w:trPr>
        <w:tc>
          <w:tcPr>
            <w:tcW w:w="79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keepNext w:val="false"/>
              <w:spacing w:lineRule="auto" w:line="240" w:before="0" w:after="0"/>
              <w:rPr/>
            </w:pPr>
            <w:r>
              <w:rPr>
                <w:rFonts w:eastAsia="Calibri" w:cs="Calibri"/>
                <w:sz w:val="20"/>
              </w:rPr>
              <w:t>5.4</w:t>
            </w:r>
          </w:p>
        </w:tc>
        <w:tc>
          <w:tcPr>
            <w:tcW w:w="1361"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keepNext w:val="false"/>
              <w:spacing w:lineRule="auto" w:line="240" w:before="0" w:after="0"/>
              <w:rPr/>
            </w:pPr>
            <w:r>
              <w:rPr>
                <w:rFonts w:eastAsia="Calibri" w:cs="Calibri"/>
                <w:sz w:val="20"/>
              </w:rPr>
              <w:t>07/20/2026</w:t>
            </w:r>
          </w:p>
        </w:tc>
        <w:tc>
          <w:tcPr>
            <w:tcW w:w="1448"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keepNext w:val="false"/>
              <w:spacing w:lineRule="auto" w:line="240" w:before="0" w:after="0"/>
              <w:rPr/>
            </w:pPr>
            <w:r>
              <w:rPr>
                <w:rFonts w:eastAsia="Calibri" w:cs="Calibri"/>
                <w:sz w:val="20"/>
              </w:rPr>
              <w:t>Sections 1, 8 / Appendix C</w:t>
            </w:r>
          </w:p>
        </w:tc>
        <w:tc>
          <w:tcPr>
            <w:tcW w:w="5110"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keepNext w:val="false"/>
              <w:spacing w:lineRule="auto" w:line="240" w:before="0" w:after="0"/>
              <w:rPr/>
            </w:pPr>
            <w:r>
              <w:rPr>
                <w:rFonts w:eastAsia="Calibri" w:cs="Calibri"/>
                <w:sz w:val="20"/>
              </w:rPr>
              <w:t>Added Appendix C with all 320 NIST SP 800-171A “Determine if” objectives checked and aligned to existing requirement status, narratives, and evidence; standardized Calibri 10-point minimum and reconciled the 102 Met / 8 N/A totals.</w:t>
            </w:r>
          </w:p>
        </w:tc>
        <w:tc>
          <w:tcPr>
            <w:tcW w:w="1657" w:type="dxa"/>
            <w:tcBorders>
              <w:top w:val="single" w:sz="6" w:space="0" w:color="B8C4CE"/>
              <w:start w:val="single" w:sz="6" w:space="0" w:color="B8C4CE"/>
              <w:bottom w:val="single" w:sz="6" w:space="0" w:color="B8C4CE"/>
              <w:end w:val="single" w:sz="6" w:space="0" w:color="B8C4CE"/>
            </w:tcBorders>
            <w:tcMar>
              <w:top w:w="0" w:type="dxa"/>
              <w:start w:w="108" w:type="dxa"/>
              <w:bottom w:w="0" w:type="dxa"/>
              <w:end w:w="108" w:type="dxa"/>
            </w:tcMar>
            <w:vAlign w:val="center"/>
          </w:tcPr>
          <w:p>
            <w:pPr>
              <w:pStyle w:val="Normal"/>
              <w:keepNext w:val="false"/>
              <w:spacing w:lineRule="auto" w:line="240" w:before="0" w:after="0"/>
              <w:rPr/>
            </w:pPr>
            <w:r>
              <w:rPr>
                <w:rFonts w:eastAsia="Calibri" w:cs="Calibri"/>
                <w:sz w:val="20"/>
              </w:rPr>
              <w:t>James Marshall</w:t>
            </w:r>
          </w:p>
        </w:tc>
      </w:tr>
    </w:tbl>
    <w:p>
      <w:pPr>
        <w:pStyle w:val="Normal"/>
        <w:rPr>
          <w:rFonts w:ascii="Calibri" w:hAnsi="Calibri" w:cs="Calibri" w:asciiTheme="majorHAnsi" w:cstheme="majorHAnsi" w:hAnsiTheme="majorHAnsi"/>
        </w:rPr>
      </w:pPr>
      <w:r>
        <w:rPr>
          <w:rFonts w:cs="Calibri" w:cstheme="majorHAnsi"/>
        </w:rPr>
      </w:r>
    </w:p>
    <w:p>
      <w:pPr>
        <w:pStyle w:val="Heading1"/>
        <w:rPr>
          <w:rFonts w:cs="Calibri" w:cstheme="majorHAnsi"/>
        </w:rPr>
      </w:pPr>
      <w:bookmarkStart w:id="2" w:name="__RefHeading___Toc4597_3414231214"/>
      <w:bookmarkStart w:id="3" w:name="_Toc235338110"/>
      <w:bookmarkEnd w:id="2"/>
      <w:r>
        <w:rPr>
          <w:rFonts w:eastAsia="Calibri" w:cs="Calibri" w:cstheme="majorHAnsi"/>
          <w:sz w:val="20"/>
        </w:rPr>
        <w:t>Reference Documents</w:t>
      </w:r>
      <w:bookmarkEnd w:id="3"/>
    </w:p>
    <w:tbl>
      <w:tblPr>
        <w:tblW w:w="10352" w:type="dxa"/>
        <w:jc w:val="center"/>
        <w:tblInd w:w="0" w:type="dxa"/>
        <w:tblLayout w:type="fixed"/>
        <w:tblCellMar>
          <w:top w:w="55" w:type="dxa"/>
          <w:start w:w="45" w:type="dxa"/>
          <w:bottom w:w="55" w:type="dxa"/>
          <w:end w:w="45" w:type="dxa"/>
        </w:tblCellMar>
        <w:tblLook w:val="04a0" w:noHBand="0" w:noVBand="1" w:firstColumn="1" w:lastRow="0" w:lastColumn="0" w:firstRow="1"/>
      </w:tblPr>
      <w:tblGrid>
        <w:gridCol w:w="3952"/>
        <w:gridCol w:w="6399"/>
      </w:tblGrid>
      <w:tr>
        <w:trPr>
          <w:tblHeader w:val="true"/>
          <w:cantSplit w:val="true"/>
        </w:trPr>
        <w:tc>
          <w:tcPr>
            <w:tcW w:w="3952" w:type="dxa"/>
            <w:tcBorders>
              <w:top w:val="single" w:sz="6" w:space="0" w:color="000000"/>
              <w:start w:val="single" w:sz="6" w:space="0" w:color="000000"/>
              <w:bottom w:val="single" w:sz="6" w:space="0" w:color="000000"/>
              <w:end w:val="single" w:sz="6" w:space="0" w:color="00000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DOCUMENT / AUTHORITY</w:t>
            </w:r>
          </w:p>
        </w:tc>
        <w:tc>
          <w:tcPr>
            <w:tcW w:w="6399" w:type="dxa"/>
            <w:tcBorders>
              <w:top w:val="single" w:sz="6" w:space="0" w:color="000000"/>
              <w:start w:val="single" w:sz="6" w:space="0" w:color="000000"/>
              <w:bottom w:val="single" w:sz="6" w:space="0" w:color="000000"/>
              <w:end w:val="single" w:sz="6" w:space="0" w:color="00000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TITLE / APPLICATION</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32 CFR Part 170</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Cybersecurity Maturity Model Certification Program.</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NIST SP 800-171 Rev. 2</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Protecting CUI in Nonfederal Systems and Organizations.</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NIST SP 800-171A</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Assessment procedures and objectives for NIST SP 800-171.</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CMMC L2 Assessment Guide v2.13</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Level 2 assessment objectives and examine/interview/test methodology.</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CMMC L2 Scoping Guide v2.13</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Asset categories and assessment boundary guidance.</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NIST SP 800-53 Rev. 4</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Source controls mapped through NIST SP 800-171 Rev. 2 Appendix D.</w:t>
            </w:r>
          </w:p>
        </w:tc>
      </w:tr>
      <w:tr>
        <w:trPr>
          <w:cantSplit w:val="true"/>
        </w:trPr>
        <w:tc>
          <w:tcPr>
            <w:tcW w:w="3952"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DFARS 252.204-7012/7019/7020/7021</w:t>
            </w:r>
          </w:p>
        </w:tc>
        <w:tc>
          <w:tcPr>
            <w:tcW w:w="6399" w:type="dxa"/>
            <w:tcBorders>
              <w:top w:val="single" w:sz="6" w:space="0" w:color="000000"/>
              <w:start w:val="single" w:sz="6" w:space="0" w:color="000000"/>
              <w:bottom w:val="single" w:sz="6" w:space="0" w:color="000000"/>
              <w:end w:val="single" w:sz="6" w:space="0" w:color="000000"/>
            </w:tcBorders>
            <w:tcMar>
              <w:top w:w="45" w:type="dxa"/>
              <w:bottom w:w="4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sz w:val="20"/>
                <w:szCs w:val="20"/>
              </w:rPr>
              <w:t>Applicable safeguarding, assessment, incident, and certification clauses.</w:t>
            </w:r>
          </w:p>
        </w:tc>
      </w:tr>
    </w:tbl>
    <w:p>
      <w:pPr>
        <w:pStyle w:val="Normal"/>
        <w:rPr>
          <w:rFonts w:ascii="Calibri" w:hAnsi="Calibri" w:cs="Calibri" w:asciiTheme="majorHAnsi" w:cstheme="majorHAnsi" w:hAnsiTheme="majorHAnsi"/>
        </w:rPr>
      </w:pPr>
      <w:r>
        <w:rPr>
          <w:rFonts w:cs="Calibri" w:cstheme="majorHAnsi"/>
        </w:rPr>
      </w:r>
    </w:p>
    <w:sdt>
      <w:sdtPr>
        <w:docPartObj>
          <w:docPartGallery w:val="Table of Contents"/>
          <w:docPartUnique w:val="true"/>
        </w:docPartObj>
      </w:sdtPr>
      <w:sdtContent>
        <w:p>
          <w:pPr>
            <w:pStyle w:val="TOCHeading"/>
            <w:rPr/>
          </w:pPr>
          <w:r>
            <w:br w:type="page"/>
          </w:r>
          <w:r>
            <w:rPr/>
            <w:t>Table of Contents</w:t>
          </w:r>
        </w:p>
        <w:p>
          <w:pPr>
            <w:pStyle w:val="TOC1"/>
            <w:tabs>
              <w:tab w:val="clear" w:pos="720"/>
              <w:tab w:val="right" w:pos="10367" w:leader="dot"/>
            </w:tabs>
            <w:rPr/>
          </w:pPr>
          <w:r>
            <w:fldChar w:fldCharType="begin"/>
          </w:r>
          <w:r>
            <w:rPr>
              <w:webHidden/>
              <w:rStyle w:val="IndexLink"/>
            </w:rPr>
            <w:instrText xml:space="preserve"> TOC \z \o "1-3" \u \h</w:instrText>
          </w:r>
          <w:r>
            <w:rPr>
              <w:webHidden/>
              <w:rStyle w:val="IndexLink"/>
            </w:rPr>
            <w:fldChar w:fldCharType="separate"/>
          </w:r>
          <w:hyperlink w:anchor="__RefHeading___Toc4595_3414231214">
            <w:r>
              <w:rPr>
                <w:webHidden/>
                <w:rStyle w:val="IndexLink"/>
              </w:rPr>
              <w:t>Revision History</w:t>
              <w:tab/>
              <w:t>2</w:t>
            </w:r>
          </w:hyperlink>
        </w:p>
        <w:p>
          <w:pPr>
            <w:pStyle w:val="TOC1"/>
            <w:tabs>
              <w:tab w:val="clear" w:pos="720"/>
              <w:tab w:val="right" w:pos="10367" w:leader="dot"/>
            </w:tabs>
            <w:rPr/>
          </w:pPr>
          <w:hyperlink w:anchor="__RefHeading___Toc4597_3414231214">
            <w:r>
              <w:rPr>
                <w:webHidden/>
                <w:rStyle w:val="IndexLink"/>
              </w:rPr>
              <w:t>Reference Documents</w:t>
              <w:tab/>
              <w:t>2</w:t>
            </w:r>
          </w:hyperlink>
        </w:p>
        <w:p>
          <w:pPr>
            <w:pStyle w:val="TOC1"/>
            <w:tabs>
              <w:tab w:val="clear" w:pos="720"/>
              <w:tab w:val="right" w:pos="10367" w:leader="dot"/>
            </w:tabs>
            <w:rPr/>
          </w:pPr>
          <w:hyperlink w:anchor="__RefHeading___Toc4599_3414231214">
            <w:r>
              <w:rPr>
                <w:webHidden/>
                <w:rStyle w:val="IndexLink"/>
              </w:rPr>
              <w:t>1. Purpose, Authority, and Status</w:t>
              <w:tab/>
              <w:t>5</w:t>
            </w:r>
          </w:hyperlink>
        </w:p>
        <w:p>
          <w:pPr>
            <w:pStyle w:val="TOC2"/>
            <w:tabs>
              <w:tab w:val="clear" w:pos="720"/>
              <w:tab w:val="right" w:pos="10367" w:leader="dot"/>
            </w:tabs>
            <w:rPr/>
          </w:pPr>
          <w:hyperlink w:anchor="__RefHeading___Toc4601_3414231214">
            <w:r>
              <w:rPr>
                <w:webHidden/>
                <w:rStyle w:val="IndexLink"/>
              </w:rPr>
              <w:t>1.1 Regulatory Basis</w:t>
              <w:tab/>
              <w:t>5</w:t>
            </w:r>
          </w:hyperlink>
        </w:p>
        <w:p>
          <w:pPr>
            <w:pStyle w:val="TOC2"/>
            <w:tabs>
              <w:tab w:val="clear" w:pos="720"/>
              <w:tab w:val="right" w:pos="10367" w:leader="dot"/>
            </w:tabs>
            <w:rPr/>
          </w:pPr>
          <w:hyperlink w:anchor="__RefHeading___Toc4603_3414231214">
            <w:r>
              <w:rPr>
                <w:webHidden/>
                <w:rStyle w:val="IndexLink"/>
              </w:rPr>
              <w:t>1.2 Document Approval and Use</w:t>
              <w:tab/>
              <w:t>5</w:t>
            </w:r>
          </w:hyperlink>
        </w:p>
        <w:p>
          <w:pPr>
            <w:pStyle w:val="TOC2"/>
            <w:tabs>
              <w:tab w:val="clear" w:pos="720"/>
              <w:tab w:val="right" w:pos="10367" w:leader="dot"/>
            </w:tabs>
            <w:rPr/>
          </w:pPr>
          <w:hyperlink w:anchor="__RefHeading___Toc4605_3414231214">
            <w:r>
              <w:rPr>
                <w:webHidden/>
                <w:rStyle w:val="IndexLink"/>
              </w:rPr>
              <w:t>1.3 Management Assessment, Evidence Maturity, and Independent Review</w:t>
              <w:tab/>
              <w:t>5</w:t>
            </w:r>
          </w:hyperlink>
        </w:p>
        <w:p>
          <w:pPr>
            <w:pStyle w:val="TOC1"/>
            <w:tabs>
              <w:tab w:val="clear" w:pos="720"/>
              <w:tab w:val="right" w:pos="10367" w:leader="dot"/>
            </w:tabs>
            <w:rPr/>
          </w:pPr>
          <w:hyperlink w:anchor="__RefHeading___Toc4607_3414231214">
            <w:r>
              <w:rPr>
                <w:webHidden/>
                <w:rStyle w:val="IndexLink"/>
              </w:rPr>
              <w:t>2. Organization and System Overview</w:t>
              <w:tab/>
              <w:t>5</w:t>
            </w:r>
          </w:hyperlink>
        </w:p>
        <w:p>
          <w:pPr>
            <w:pStyle w:val="TOC2"/>
            <w:tabs>
              <w:tab w:val="clear" w:pos="720"/>
              <w:tab w:val="right" w:pos="10367" w:leader="dot"/>
            </w:tabs>
            <w:rPr/>
          </w:pPr>
          <w:hyperlink w:anchor="__RefHeading___Toc4609_3414231214">
            <w:r>
              <w:rPr>
                <w:webHidden/>
                <w:rStyle w:val="IndexLink"/>
              </w:rPr>
              <w:t>2.1 Business and CUI Use Case</w:t>
              <w:tab/>
              <w:t>6</w:t>
            </w:r>
          </w:hyperlink>
        </w:p>
        <w:p>
          <w:pPr>
            <w:pStyle w:val="TOC2"/>
            <w:tabs>
              <w:tab w:val="clear" w:pos="720"/>
              <w:tab w:val="right" w:pos="10367" w:leader="dot"/>
            </w:tabs>
            <w:rPr/>
          </w:pPr>
          <w:hyperlink w:anchor="__RefHeading___Toc4611_3414231214">
            <w:r>
              <w:rPr>
                <w:webHidden/>
                <w:rStyle w:val="IndexLink"/>
              </w:rPr>
              <w:t>2.2 System Operational Model</w:t>
              <w:tab/>
              <w:t>6</w:t>
            </w:r>
          </w:hyperlink>
        </w:p>
        <w:p>
          <w:pPr>
            <w:pStyle w:val="TOC1"/>
            <w:tabs>
              <w:tab w:val="clear" w:pos="720"/>
              <w:tab w:val="right" w:pos="10367" w:leader="dot"/>
            </w:tabs>
            <w:rPr/>
          </w:pPr>
          <w:hyperlink w:anchor="__RefHeading___Toc4613_3414231214">
            <w:r>
              <w:rPr>
                <w:webHidden/>
                <w:rStyle w:val="IndexLink"/>
              </w:rPr>
              <w:t>3. Assessment Scope and System Boundary</w:t>
              <w:tab/>
              <w:t>6</w:t>
            </w:r>
          </w:hyperlink>
        </w:p>
        <w:p>
          <w:pPr>
            <w:pStyle w:val="TOC2"/>
            <w:tabs>
              <w:tab w:val="clear" w:pos="720"/>
              <w:tab w:val="right" w:pos="10367" w:leader="dot"/>
            </w:tabs>
            <w:rPr/>
          </w:pPr>
          <w:hyperlink w:anchor="__RefHeading___Toc4615_3414231214">
            <w:r>
              <w:rPr>
                <w:webHidden/>
                <w:rStyle w:val="IndexLink"/>
              </w:rPr>
              <w:t>3.1 CMMC Asset Categories</w:t>
              <w:tab/>
              <w:t>6</w:t>
            </w:r>
          </w:hyperlink>
        </w:p>
        <w:p>
          <w:pPr>
            <w:pStyle w:val="TOC2"/>
            <w:tabs>
              <w:tab w:val="clear" w:pos="720"/>
              <w:tab w:val="right" w:pos="10367" w:leader="dot"/>
            </w:tabs>
            <w:rPr/>
          </w:pPr>
          <w:hyperlink w:anchor="__RefHeading___Toc4617_3414231214">
            <w:r>
              <w:rPr>
                <w:webHidden/>
                <w:rStyle w:val="IndexLink"/>
              </w:rPr>
              <w:t>3.2 In-Scope and Related Asset Inventory</w:t>
              <w:tab/>
              <w:t>7</w:t>
            </w:r>
          </w:hyperlink>
        </w:p>
        <w:p>
          <w:pPr>
            <w:pStyle w:val="TOC2"/>
            <w:tabs>
              <w:tab w:val="clear" w:pos="720"/>
              <w:tab w:val="right" w:pos="10367" w:leader="dot"/>
            </w:tabs>
            <w:rPr/>
          </w:pPr>
          <w:hyperlink w:anchor="__RefHeading___Toc4619_3414231214">
            <w:r>
              <w:rPr>
                <w:webHidden/>
                <w:rStyle w:val="IndexLink"/>
              </w:rPr>
              <w:t>3.3 Network and Data-Flow Boundary</w:t>
              <w:tab/>
              <w:t>8</w:t>
            </w:r>
          </w:hyperlink>
        </w:p>
        <w:p>
          <w:pPr>
            <w:pStyle w:val="TOC2"/>
            <w:tabs>
              <w:tab w:val="clear" w:pos="720"/>
              <w:tab w:val="right" w:pos="10367" w:leader="dot"/>
            </w:tabs>
            <w:rPr/>
          </w:pPr>
          <w:hyperlink w:anchor="__RefHeading___Toc4621_3414231214">
            <w:r>
              <w:rPr>
                <w:webHidden/>
                <w:rStyle w:val="IndexLink"/>
              </w:rPr>
              <w:t>3.4 Control HUB Boundary Decision</w:t>
              <w:tab/>
              <w:t>9</w:t>
            </w:r>
          </w:hyperlink>
        </w:p>
        <w:p>
          <w:pPr>
            <w:pStyle w:val="TOC2"/>
            <w:tabs>
              <w:tab w:val="clear" w:pos="720"/>
              <w:tab w:val="right" w:pos="10367" w:leader="dot"/>
            </w:tabs>
            <w:rPr/>
          </w:pPr>
          <w:hyperlink w:anchor="__RefHeading___Toc4623_3414231214">
            <w:r>
              <w:rPr>
                <w:webHidden/>
                <w:rStyle w:val="IndexLink"/>
              </w:rPr>
              <w:t>3.5 Out-of-Scope and Prohibited Paths</w:t>
              <w:tab/>
              <w:t>9</w:t>
            </w:r>
          </w:hyperlink>
        </w:p>
        <w:p>
          <w:pPr>
            <w:pStyle w:val="TOC1"/>
            <w:tabs>
              <w:tab w:val="clear" w:pos="720"/>
              <w:tab w:val="right" w:pos="10367" w:leader="dot"/>
            </w:tabs>
            <w:rPr/>
          </w:pPr>
          <w:hyperlink w:anchor="__RefHeading___Toc4625_3414231214">
            <w:r>
              <w:rPr>
                <w:webHidden/>
                <w:rStyle w:val="IndexLink"/>
              </w:rPr>
              <w:t>4. CUI Lifecycle and Handling Rules</w:t>
              <w:tab/>
              <w:t>9</w:t>
            </w:r>
          </w:hyperlink>
        </w:p>
        <w:p>
          <w:pPr>
            <w:pStyle w:val="TOC2"/>
            <w:tabs>
              <w:tab w:val="clear" w:pos="720"/>
              <w:tab w:val="right" w:pos="10367" w:leader="dot"/>
            </w:tabs>
            <w:rPr/>
          </w:pPr>
          <w:hyperlink w:anchor="__RefHeading___Toc4627_3414231214">
            <w:r>
              <w:rPr>
                <w:webHidden/>
                <w:rStyle w:val="IndexLink"/>
              </w:rPr>
              <w:t>4.1 Receipt and Identification</w:t>
              <w:tab/>
              <w:t>9</w:t>
            </w:r>
          </w:hyperlink>
        </w:p>
        <w:p>
          <w:pPr>
            <w:pStyle w:val="TOC2"/>
            <w:tabs>
              <w:tab w:val="clear" w:pos="720"/>
              <w:tab w:val="right" w:pos="10367" w:leader="dot"/>
            </w:tabs>
            <w:rPr/>
          </w:pPr>
          <w:hyperlink w:anchor="__RefHeading___Toc4629_3414231214">
            <w:r>
              <w:rPr>
                <w:webHidden/>
                <w:rStyle w:val="IndexLink"/>
              </w:rPr>
              <w:t>4.2 Storage and Processing</w:t>
              <w:tab/>
              <w:t>9</w:t>
            </w:r>
          </w:hyperlink>
        </w:p>
        <w:p>
          <w:pPr>
            <w:pStyle w:val="TOC2"/>
            <w:tabs>
              <w:tab w:val="clear" w:pos="720"/>
              <w:tab w:val="right" w:pos="10367" w:leader="dot"/>
            </w:tabs>
            <w:rPr/>
          </w:pPr>
          <w:hyperlink w:anchor="__RefHeading___Toc4631_3414231214">
            <w:r>
              <w:rPr>
                <w:webHidden/>
                <w:rStyle w:val="IndexLink"/>
              </w:rPr>
              <w:t>4.3 Transmission and Sharing</w:t>
              <w:tab/>
              <w:t>9</w:t>
            </w:r>
          </w:hyperlink>
        </w:p>
        <w:p>
          <w:pPr>
            <w:pStyle w:val="TOC2"/>
            <w:tabs>
              <w:tab w:val="clear" w:pos="720"/>
              <w:tab w:val="right" w:pos="10367" w:leader="dot"/>
            </w:tabs>
            <w:rPr/>
          </w:pPr>
          <w:hyperlink w:anchor="__RefHeading___Toc4633_3414231214">
            <w:r>
              <w:rPr>
                <w:webHidden/>
                <w:rStyle w:val="IndexLink"/>
              </w:rPr>
              <w:t>4.4 Retention, Return, and Destruction</w:t>
              <w:tab/>
              <w:t>9</w:t>
            </w:r>
          </w:hyperlink>
        </w:p>
        <w:p>
          <w:pPr>
            <w:pStyle w:val="TOC1"/>
            <w:tabs>
              <w:tab w:val="clear" w:pos="720"/>
              <w:tab w:val="right" w:pos="10367" w:leader="dot"/>
            </w:tabs>
            <w:rPr/>
          </w:pPr>
          <w:hyperlink w:anchor="__RefHeading___Toc4635_3414231214">
            <w:r>
              <w:rPr>
                <w:webHidden/>
                <w:rStyle w:val="IndexLink"/>
              </w:rPr>
              <w:t>5. Security Architecture</w:t>
              <w:tab/>
              <w:t>9</w:t>
            </w:r>
          </w:hyperlink>
        </w:p>
        <w:p>
          <w:pPr>
            <w:pStyle w:val="TOC2"/>
            <w:tabs>
              <w:tab w:val="clear" w:pos="720"/>
              <w:tab w:val="right" w:pos="10367" w:leader="dot"/>
            </w:tabs>
            <w:rPr/>
          </w:pPr>
          <w:hyperlink w:anchor="__RefHeading___Toc4637_3414231214">
            <w:r>
              <w:rPr>
                <w:webHidden/>
                <w:rStyle w:val="IndexLink"/>
              </w:rPr>
              <w:t>5.1 Identity and Access</w:t>
              <w:tab/>
              <w:t>9</w:t>
            </w:r>
          </w:hyperlink>
        </w:p>
        <w:p>
          <w:pPr>
            <w:pStyle w:val="TOC2"/>
            <w:tabs>
              <w:tab w:val="clear" w:pos="720"/>
              <w:tab w:val="right" w:pos="10367" w:leader="dot"/>
            </w:tabs>
            <w:rPr/>
          </w:pPr>
          <w:hyperlink w:anchor="__RefHeading___Toc4639_3414231214">
            <w:r>
              <w:rPr>
                <w:webHidden/>
                <w:rStyle w:val="IndexLink"/>
              </w:rPr>
              <w:t>5.2 Endpoint Security</w:t>
              <w:tab/>
              <w:t>10</w:t>
            </w:r>
          </w:hyperlink>
        </w:p>
        <w:p>
          <w:pPr>
            <w:pStyle w:val="TOC2"/>
            <w:tabs>
              <w:tab w:val="clear" w:pos="720"/>
              <w:tab w:val="right" w:pos="10367" w:leader="dot"/>
            </w:tabs>
            <w:rPr/>
          </w:pPr>
          <w:hyperlink w:anchor="__RefHeading___Toc4641_3414231214">
            <w:r>
              <w:rPr>
                <w:webHidden/>
                <w:rStyle w:val="IndexLink"/>
              </w:rPr>
              <w:t>5.3 Cloud Security</w:t>
              <w:tab/>
              <w:t>10</w:t>
            </w:r>
          </w:hyperlink>
        </w:p>
        <w:p>
          <w:pPr>
            <w:pStyle w:val="TOC2"/>
            <w:tabs>
              <w:tab w:val="clear" w:pos="720"/>
              <w:tab w:val="right" w:pos="10367" w:leader="dot"/>
            </w:tabs>
            <w:rPr/>
          </w:pPr>
          <w:hyperlink w:anchor="__RefHeading___Toc4643_3414231214">
            <w:r>
              <w:rPr>
                <w:webHidden/>
                <w:rStyle w:val="IndexLink"/>
              </w:rPr>
              <w:t>5.4 Network and Boundary Security</w:t>
              <w:tab/>
              <w:t>10</w:t>
            </w:r>
          </w:hyperlink>
        </w:p>
        <w:p>
          <w:pPr>
            <w:pStyle w:val="TOC2"/>
            <w:tabs>
              <w:tab w:val="clear" w:pos="720"/>
              <w:tab w:val="right" w:pos="10367" w:leader="dot"/>
            </w:tabs>
            <w:rPr/>
          </w:pPr>
          <w:hyperlink w:anchor="__RefHeading___Toc4645_3414231214">
            <w:r>
              <w:rPr>
                <w:webHidden/>
                <w:rStyle w:val="IndexLink"/>
              </w:rPr>
              <w:t>5.5 Physical and Personnel Security</w:t>
              <w:tab/>
              <w:t>10</w:t>
            </w:r>
          </w:hyperlink>
        </w:p>
        <w:p>
          <w:pPr>
            <w:pStyle w:val="TOC1"/>
            <w:tabs>
              <w:tab w:val="clear" w:pos="720"/>
              <w:tab w:val="right" w:pos="10367" w:leader="dot"/>
            </w:tabs>
            <w:rPr/>
          </w:pPr>
          <w:hyperlink w:anchor="__RefHeading___Toc4647_3414231214">
            <w:r>
              <w:rPr>
                <w:webHidden/>
                <w:rStyle w:val="IndexLink"/>
              </w:rPr>
              <w:t>6. Roles and Responsibilities</w:t>
              <w:tab/>
              <w:t>10</w:t>
            </w:r>
          </w:hyperlink>
        </w:p>
        <w:p>
          <w:pPr>
            <w:pStyle w:val="TOC1"/>
            <w:tabs>
              <w:tab w:val="clear" w:pos="720"/>
              <w:tab w:val="right" w:pos="10367" w:leader="dot"/>
            </w:tabs>
            <w:rPr/>
          </w:pPr>
          <w:hyperlink w:anchor="__RefHeading___Toc4649_3414231214">
            <w:r>
              <w:rPr>
                <w:webHidden/>
                <w:rStyle w:val="IndexLink"/>
              </w:rPr>
              <w:t>7. Security Requirement Implementation Summary</w:t>
              <w:tab/>
              <w:t>11</w:t>
            </w:r>
          </w:hyperlink>
        </w:p>
        <w:p>
          <w:pPr>
            <w:pStyle w:val="TOC1"/>
            <w:tabs>
              <w:tab w:val="clear" w:pos="720"/>
              <w:tab w:val="right" w:pos="10367" w:leader="dot"/>
            </w:tabs>
            <w:rPr/>
          </w:pPr>
          <w:hyperlink w:anchor="__RefHeading___Toc4651_3414231214">
            <w:r>
              <w:rPr>
                <w:webHidden/>
                <w:rStyle w:val="IndexLink"/>
              </w:rPr>
              <w:t>8. DFARS Compliance Status, N.A. Rationale, and POA&amp;M</w:t>
              <w:tab/>
              <w:t>12</w:t>
            </w:r>
          </w:hyperlink>
        </w:p>
        <w:p>
          <w:pPr>
            <w:pStyle w:val="TOC2"/>
            <w:tabs>
              <w:tab w:val="clear" w:pos="720"/>
              <w:tab w:val="right" w:pos="10367" w:leader="dot"/>
            </w:tabs>
            <w:rPr/>
          </w:pPr>
          <w:hyperlink w:anchor="__RefHeading___Toc4653_3414231214">
            <w:r>
              <w:rPr>
                <w:webHidden/>
                <w:rStyle w:val="IndexLink"/>
              </w:rPr>
              <w:t>8.1 DFARS Compliance Status - Management Assertion</w:t>
              <w:tab/>
              <w:t>12</w:t>
            </w:r>
          </w:hyperlink>
        </w:p>
        <w:p>
          <w:pPr>
            <w:pStyle w:val="TOC2"/>
            <w:tabs>
              <w:tab w:val="clear" w:pos="720"/>
              <w:tab w:val="right" w:pos="10367" w:leader="dot"/>
            </w:tabs>
            <w:rPr/>
          </w:pPr>
          <w:hyperlink w:anchor="__RefHeading___Toc4655_3414231214">
            <w:r>
              <w:rPr>
                <w:webHidden/>
                <w:rStyle w:val="IndexLink"/>
              </w:rPr>
              <w:t>8.2 Proposed N.A. Items and Controlled Prohibitions</w:t>
              <w:tab/>
              <w:t>12</w:t>
            </w:r>
          </w:hyperlink>
        </w:p>
        <w:p>
          <w:pPr>
            <w:pStyle w:val="TOC2"/>
            <w:tabs>
              <w:tab w:val="clear" w:pos="720"/>
              <w:tab w:val="right" w:pos="10367" w:leader="dot"/>
            </w:tabs>
            <w:rPr/>
          </w:pPr>
          <w:hyperlink w:anchor="__RefHeading___Toc4657_3414231214">
            <w:r>
              <w:rPr>
                <w:webHidden/>
                <w:rStyle w:val="IndexLink"/>
              </w:rPr>
              <w:t>8.3 POA&amp;M and Risk Treatment</w:t>
              <w:tab/>
              <w:t>13</w:t>
            </w:r>
          </w:hyperlink>
        </w:p>
        <w:p>
          <w:pPr>
            <w:pStyle w:val="TOC1"/>
            <w:tabs>
              <w:tab w:val="clear" w:pos="720"/>
              <w:tab w:val="right" w:pos="10367" w:leader="dot"/>
            </w:tabs>
            <w:rPr/>
          </w:pPr>
          <w:hyperlink w:anchor="__RefHeading___Toc4659_3414231214">
            <w:r>
              <w:rPr>
                <w:webHidden/>
                <w:rStyle w:val="IndexLink"/>
              </w:rPr>
              <w:t>9. External Services and Customer Responsibilities</w:t>
              <w:tab/>
              <w:t>13</w:t>
            </w:r>
          </w:hyperlink>
        </w:p>
        <w:p>
          <w:pPr>
            <w:pStyle w:val="TOC1"/>
            <w:tabs>
              <w:tab w:val="clear" w:pos="720"/>
              <w:tab w:val="right" w:pos="10367" w:leader="dot"/>
            </w:tabs>
            <w:rPr/>
          </w:pPr>
          <w:hyperlink w:anchor="__RefHeading___Toc4661_3414231214">
            <w:r>
              <w:rPr>
                <w:webHidden/>
                <w:rStyle w:val="IndexLink"/>
              </w:rPr>
              <w:t>10. Continuous Monitoring and Evidence Management</w:t>
              <w:tab/>
              <w:t>13</w:t>
            </w:r>
          </w:hyperlink>
        </w:p>
        <w:p>
          <w:pPr>
            <w:pStyle w:val="TOC2"/>
            <w:tabs>
              <w:tab w:val="clear" w:pos="720"/>
              <w:tab w:val="right" w:pos="10367" w:leader="dot"/>
            </w:tabs>
            <w:rPr/>
          </w:pPr>
          <w:hyperlink w:anchor="__RefHeading___Toc4663_3414231214">
            <w:r>
              <w:rPr>
                <w:webHidden/>
                <w:rStyle w:val="IndexLink"/>
              </w:rPr>
              <w:t>10.1 Evidence Quality Rules</w:t>
              <w:tab/>
              <w:t>13</w:t>
            </w:r>
          </w:hyperlink>
        </w:p>
        <w:p>
          <w:pPr>
            <w:pStyle w:val="TOC1"/>
            <w:tabs>
              <w:tab w:val="clear" w:pos="720"/>
              <w:tab w:val="right" w:pos="10367" w:leader="dot"/>
            </w:tabs>
            <w:rPr/>
          </w:pPr>
          <w:hyperlink w:anchor="__RefHeading___Toc4665_3414231214">
            <w:r>
              <w:rPr>
                <w:webHidden/>
                <w:rStyle w:val="IndexLink"/>
              </w:rPr>
              <w:t>11. Incident Response and External Reporting</w:t>
              <w:tab/>
              <w:t>14</w:t>
            </w:r>
          </w:hyperlink>
        </w:p>
        <w:p>
          <w:pPr>
            <w:pStyle w:val="TOC1"/>
            <w:tabs>
              <w:tab w:val="clear" w:pos="720"/>
              <w:tab w:val="right" w:pos="10367" w:leader="dot"/>
            </w:tabs>
            <w:rPr/>
          </w:pPr>
          <w:hyperlink w:anchor="__RefHeading___Toc4667_3414231214">
            <w:r>
              <w:rPr>
                <w:webHidden/>
                <w:rStyle w:val="IndexLink"/>
              </w:rPr>
              <w:t>12. SSP Maintenance, Review, and Approval</w:t>
              <w:tab/>
              <w:t>14</w:t>
            </w:r>
          </w:hyperlink>
        </w:p>
        <w:p>
          <w:pPr>
            <w:pStyle w:val="TOC1"/>
            <w:tabs>
              <w:tab w:val="clear" w:pos="720"/>
              <w:tab w:val="right" w:pos="10367" w:leader="dot"/>
            </w:tabs>
            <w:rPr/>
          </w:pPr>
          <w:hyperlink w:anchor="__RefHeading___Toc4669_3414231214">
            <w:r>
              <w:rPr>
                <w:webHidden/>
                <w:rStyle w:val="IndexLink"/>
              </w:rPr>
              <w:t>Appendix A. Requirement-Level Implementation Narratives and NIST 800-53 Mapping</w:t>
              <w:tab/>
              <w:t>15</w:t>
            </w:r>
          </w:hyperlink>
        </w:p>
        <w:p>
          <w:pPr>
            <w:pStyle w:val="TOC2"/>
            <w:tabs>
              <w:tab w:val="clear" w:pos="720"/>
              <w:tab w:val="right" w:pos="10367" w:leader="dot"/>
            </w:tabs>
            <w:rPr/>
          </w:pPr>
          <w:hyperlink w:anchor="__RefHeading___Toc4671_3414231214">
            <w:r>
              <w:rPr>
                <w:webHidden/>
                <w:rStyle w:val="IndexLink"/>
              </w:rPr>
              <w:t>AC - Access Control</w:t>
              <w:tab/>
              <w:t>15</w:t>
            </w:r>
          </w:hyperlink>
        </w:p>
        <w:p>
          <w:pPr>
            <w:pStyle w:val="TOC2"/>
            <w:tabs>
              <w:tab w:val="clear" w:pos="720"/>
              <w:tab w:val="right" w:pos="10367" w:leader="dot"/>
            </w:tabs>
            <w:rPr/>
          </w:pPr>
          <w:hyperlink w:anchor="__RefHeading___Toc4673_3414231214">
            <w:r>
              <w:rPr>
                <w:webHidden/>
                <w:rStyle w:val="IndexLink"/>
              </w:rPr>
              <w:t>AT - Awareness and Training</w:t>
              <w:tab/>
              <w:t>19</w:t>
            </w:r>
          </w:hyperlink>
        </w:p>
        <w:p>
          <w:pPr>
            <w:pStyle w:val="TOC2"/>
            <w:tabs>
              <w:tab w:val="clear" w:pos="720"/>
              <w:tab w:val="right" w:pos="10367" w:leader="dot"/>
            </w:tabs>
            <w:rPr/>
          </w:pPr>
          <w:hyperlink w:anchor="__RefHeading___Toc4675_3414231214">
            <w:r>
              <w:rPr>
                <w:webHidden/>
                <w:rStyle w:val="IndexLink"/>
              </w:rPr>
              <w:t>AU - Audit and Accountability</w:t>
              <w:tab/>
              <w:t>21</w:t>
            </w:r>
          </w:hyperlink>
        </w:p>
        <w:p>
          <w:pPr>
            <w:pStyle w:val="TOC2"/>
            <w:tabs>
              <w:tab w:val="clear" w:pos="720"/>
              <w:tab w:val="right" w:pos="10367" w:leader="dot"/>
            </w:tabs>
            <w:rPr/>
          </w:pPr>
          <w:hyperlink w:anchor="__RefHeading___Toc4677_3414231214">
            <w:r>
              <w:rPr>
                <w:webHidden/>
                <w:rStyle w:val="IndexLink"/>
              </w:rPr>
              <w:t>CM - Configuration Management</w:t>
              <w:tab/>
              <w:t>24</w:t>
            </w:r>
          </w:hyperlink>
        </w:p>
        <w:p>
          <w:pPr>
            <w:pStyle w:val="TOC2"/>
            <w:tabs>
              <w:tab w:val="clear" w:pos="720"/>
              <w:tab w:val="right" w:pos="10367" w:leader="dot"/>
            </w:tabs>
            <w:rPr/>
          </w:pPr>
          <w:hyperlink w:anchor="__RefHeading___Toc4679_3414231214">
            <w:r>
              <w:rPr>
                <w:webHidden/>
                <w:rStyle w:val="IndexLink"/>
              </w:rPr>
              <w:t>IA - Identification and Authentication</w:t>
              <w:tab/>
              <w:t>27</w:t>
            </w:r>
          </w:hyperlink>
        </w:p>
        <w:p>
          <w:pPr>
            <w:pStyle w:val="TOC2"/>
            <w:tabs>
              <w:tab w:val="clear" w:pos="720"/>
              <w:tab w:val="right" w:pos="10367" w:leader="dot"/>
            </w:tabs>
            <w:rPr/>
          </w:pPr>
          <w:hyperlink w:anchor="__RefHeading___Toc4681_3414231214">
            <w:r>
              <w:rPr>
                <w:webHidden/>
                <w:rStyle w:val="IndexLink"/>
              </w:rPr>
              <w:t>IR - Incident Response</w:t>
              <w:tab/>
              <w:t>29</w:t>
            </w:r>
          </w:hyperlink>
        </w:p>
        <w:p>
          <w:pPr>
            <w:pStyle w:val="TOC2"/>
            <w:tabs>
              <w:tab w:val="clear" w:pos="720"/>
              <w:tab w:val="right" w:pos="10367" w:leader="dot"/>
            </w:tabs>
            <w:rPr/>
          </w:pPr>
          <w:hyperlink w:anchor="__RefHeading___Toc4683_3414231214">
            <w:r>
              <w:rPr>
                <w:webHidden/>
                <w:rStyle w:val="IndexLink"/>
              </w:rPr>
              <w:t>MA - Maintenance</w:t>
              <w:tab/>
              <w:t>30</w:t>
            </w:r>
          </w:hyperlink>
        </w:p>
        <w:p>
          <w:pPr>
            <w:pStyle w:val="TOC2"/>
            <w:tabs>
              <w:tab w:val="clear" w:pos="720"/>
              <w:tab w:val="right" w:pos="10367" w:leader="dot"/>
            </w:tabs>
            <w:rPr/>
          </w:pPr>
          <w:hyperlink w:anchor="__RefHeading___Toc4685_3414231214">
            <w:r>
              <w:rPr>
                <w:webHidden/>
                <w:rStyle w:val="IndexLink"/>
              </w:rPr>
              <w:t>MP - Media Protection</w:t>
              <w:tab/>
              <w:t>31</w:t>
            </w:r>
          </w:hyperlink>
        </w:p>
        <w:p>
          <w:pPr>
            <w:pStyle w:val="TOC2"/>
            <w:tabs>
              <w:tab w:val="clear" w:pos="720"/>
              <w:tab w:val="right" w:pos="10367" w:leader="dot"/>
            </w:tabs>
            <w:rPr/>
          </w:pPr>
          <w:hyperlink w:anchor="__RefHeading___Toc4687_3414231214">
            <w:r>
              <w:rPr>
                <w:webHidden/>
                <w:rStyle w:val="IndexLink"/>
              </w:rPr>
              <w:t>PS - Personnel Security</w:t>
              <w:tab/>
              <w:t>33</w:t>
            </w:r>
          </w:hyperlink>
        </w:p>
        <w:p>
          <w:pPr>
            <w:pStyle w:val="TOC2"/>
            <w:tabs>
              <w:tab w:val="clear" w:pos="720"/>
              <w:tab w:val="right" w:pos="10367" w:leader="dot"/>
            </w:tabs>
            <w:rPr/>
          </w:pPr>
          <w:hyperlink w:anchor="__RefHeading___Toc4689_3414231214">
            <w:r>
              <w:rPr>
                <w:webHidden/>
                <w:rStyle w:val="IndexLink"/>
              </w:rPr>
              <w:t>PE - Physical Protection</w:t>
              <w:tab/>
              <w:t>34</w:t>
            </w:r>
          </w:hyperlink>
        </w:p>
        <w:p>
          <w:pPr>
            <w:pStyle w:val="TOC2"/>
            <w:tabs>
              <w:tab w:val="clear" w:pos="720"/>
              <w:tab w:val="right" w:pos="10367" w:leader="dot"/>
            </w:tabs>
            <w:rPr/>
          </w:pPr>
          <w:hyperlink w:anchor="__RefHeading___Toc4691_3414231214">
            <w:r>
              <w:rPr>
                <w:webHidden/>
                <w:rStyle w:val="IndexLink"/>
              </w:rPr>
              <w:t>RA - Risk Assessment</w:t>
              <w:tab/>
              <w:t>35</w:t>
            </w:r>
          </w:hyperlink>
        </w:p>
        <w:p>
          <w:pPr>
            <w:pStyle w:val="TOC2"/>
            <w:tabs>
              <w:tab w:val="clear" w:pos="720"/>
              <w:tab w:val="right" w:pos="10367" w:leader="dot"/>
            </w:tabs>
            <w:rPr/>
          </w:pPr>
          <w:hyperlink w:anchor="__RefHeading___Toc4693_3414231214">
            <w:r>
              <w:rPr>
                <w:webHidden/>
                <w:rStyle w:val="IndexLink"/>
              </w:rPr>
              <w:t>CA - Security Assessment</w:t>
              <w:tab/>
              <w:t>36</w:t>
            </w:r>
          </w:hyperlink>
        </w:p>
        <w:p>
          <w:pPr>
            <w:pStyle w:val="TOC2"/>
            <w:tabs>
              <w:tab w:val="clear" w:pos="720"/>
              <w:tab w:val="right" w:pos="10367" w:leader="dot"/>
            </w:tabs>
            <w:rPr/>
          </w:pPr>
          <w:hyperlink w:anchor="__RefHeading___Toc4695_3414231214">
            <w:r>
              <w:rPr>
                <w:webHidden/>
                <w:rStyle w:val="IndexLink"/>
              </w:rPr>
              <w:t>SC - System and Communications Protection</w:t>
              <w:tab/>
              <w:t>38</w:t>
            </w:r>
          </w:hyperlink>
        </w:p>
        <w:p>
          <w:pPr>
            <w:pStyle w:val="TOC2"/>
            <w:tabs>
              <w:tab w:val="clear" w:pos="720"/>
              <w:tab w:val="right" w:pos="10367" w:leader="dot"/>
            </w:tabs>
            <w:rPr/>
          </w:pPr>
          <w:hyperlink w:anchor="__RefHeading___Toc4697_3414231214">
            <w:r>
              <w:rPr>
                <w:webHidden/>
                <w:rStyle w:val="IndexLink"/>
              </w:rPr>
              <w:t>SI - System and Information Integrity</w:t>
              <w:tab/>
              <w:t>41</w:t>
            </w:r>
          </w:hyperlink>
        </w:p>
        <w:p>
          <w:pPr>
            <w:pStyle w:val="TOC1"/>
            <w:tabs>
              <w:tab w:val="clear" w:pos="720"/>
              <w:tab w:val="right" w:pos="10367" w:leader="dot"/>
            </w:tabs>
            <w:rPr/>
          </w:pPr>
          <w:hyperlink w:anchor="__RefHeading___Toc4699_3414231214">
            <w:r>
              <w:rPr>
                <w:webHidden/>
                <w:rStyle w:val="IndexLink"/>
              </w:rPr>
              <w:t>Appendix B. Assessment Attachments and Evidence Navigation</w:t>
              <w:tab/>
              <w:t>43</w:t>
            </w:r>
          </w:hyperlink>
        </w:p>
        <w:p>
          <w:pPr>
            <w:pStyle w:val="TOC2"/>
            <w:tabs>
              <w:tab w:val="clear" w:pos="720"/>
              <w:tab w:val="right" w:pos="10367" w:leader="dot"/>
            </w:tabs>
            <w:rPr/>
          </w:pPr>
          <w:hyperlink w:anchor="__RefHeading___Toc4701_3414231214">
            <w:r>
              <w:rPr>
                <w:webHidden/>
                <w:rStyle w:val="IndexLink"/>
              </w:rPr>
              <w:t>Appendix B.1 SSP Maintenance Record</w:t>
              <w:tab/>
              <w:t>44</w:t>
            </w:r>
          </w:hyperlink>
        </w:p>
        <w:p>
          <w:pPr>
            <w:pStyle w:val="TOC1"/>
            <w:tabs>
              <w:tab w:val="clear" w:pos="720"/>
              <w:tab w:val="right" w:pos="10367" w:leader="dot"/>
            </w:tabs>
            <w:rPr/>
          </w:pPr>
          <w:hyperlink w:anchor="__RefHeading___Toc9434_2897348722">
            <w:r>
              <w:rPr>
                <w:webHidden/>
                <w:rStyle w:val="IndexLink"/>
              </w:rPr>
              <w:t>Appendix C. DFARS NIST SP 800-171A Compliance Assessment Objective Checklist</w:t>
              <w:tab/>
              <w:t>45</w:t>
            </w:r>
          </w:hyperlink>
          <w:r>
            <w:rPr>
              <w:rStyle w:val="IndexLink"/>
            </w:rPr>
            <w:fldChar w:fldCharType="end"/>
          </w:r>
        </w:p>
      </w:sdtContent>
    </w:sdt>
    <w:p>
      <w:pPr>
        <w:pStyle w:val="Normal"/>
        <w:rPr>
          <w:rFonts w:ascii="Calibri" w:hAnsi="Calibri" w:cs="Calibri" w:asciiTheme="majorHAnsi" w:cstheme="majorHAnsi" w:hAnsiTheme="majorHAnsi"/>
        </w:rPr>
      </w:pPr>
      <w:r>
        <w:rPr>
          <w:rFonts w:cs="Calibri" w:cstheme="majorHAnsi"/>
        </w:rPr>
      </w:r>
      <w:r>
        <w:br w:type="page"/>
      </w:r>
    </w:p>
    <w:p>
      <w:pPr>
        <w:pStyle w:val="Heading1"/>
        <w:spacing w:before="0" w:after="100"/>
        <w:rPr>
          <w:rFonts w:cs="Calibri" w:cstheme="majorHAnsi"/>
        </w:rPr>
      </w:pPr>
      <w:bookmarkStart w:id="4" w:name="__RefHeading___Toc4599_3414231214"/>
      <w:bookmarkStart w:id="5" w:name="_Toc235338111"/>
      <w:bookmarkEnd w:id="4"/>
      <w:r>
        <w:rPr>
          <w:rFonts w:eastAsia="Calibri" w:cs="Calibri" w:cstheme="majorHAnsi"/>
          <w:sz w:val="20"/>
        </w:rPr>
        <w:t>1. Purpose, Authority, and Status</w:t>
      </w:r>
      <w:bookmarkEnd w:id="5"/>
    </w:p>
    <w:p>
      <w:pPr>
        <w:pStyle w:val="Normal"/>
        <w:spacing w:before="0" w:after="120"/>
        <w:rPr>
          <w:rFonts w:ascii="Calibri" w:hAnsi="Calibri" w:cs="Calibri" w:asciiTheme="majorHAnsi" w:cstheme="majorHAnsi" w:hAnsiTheme="majorHAnsi"/>
        </w:rPr>
      </w:pPr>
      <w:r>
        <w:rPr>
          <w:rFonts w:eastAsia="Calibri" w:cs="Calibri" w:cstheme="majorHAnsi"/>
          <w:sz w:val="21"/>
        </w:rPr>
        <w:t>This System Security Plan (SSP) describes the VTC CUI enclave, its assessment boundary, information flow, security architecture, responsible personnel, external services, and implementation of the 110 NIST SP 800-171 Rev. 2 requirements used for CMMC Level 2.</w:t>
      </w:r>
    </w:p>
    <w:tbl>
      <w:tblPr>
        <w:tblW w:w="9936" w:type="dxa"/>
        <w:jc w:val="center"/>
        <w:tblInd w:w="0" w:type="dxa"/>
        <w:tblLayout w:type="fixed"/>
        <w:tblCellMar>
          <w:top w:w="85" w:type="dxa"/>
          <w:start w:w="100" w:type="dxa"/>
          <w:bottom w:w="85" w:type="dxa"/>
          <w:end w:w="100" w:type="dxa"/>
        </w:tblCellMar>
        <w:tblLook w:val="04a0" w:noHBand="0" w:noVBand="1" w:firstColumn="1" w:lastRow="0" w:lastColumn="0" w:firstRow="1"/>
      </w:tblPr>
      <w:tblGrid>
        <w:gridCol w:w="9936"/>
      </w:tblGrid>
      <w:tr>
        <w:trPr>
          <w:tblHeader w:val="true"/>
          <w:cantSplit w:val="true"/>
        </w:trPr>
        <w:tc>
          <w:tcPr>
            <w:tcW w:w="9936" w:type="dxa"/>
            <w:tcBorders>
              <w:top w:val="single" w:sz="8" w:space="0" w:color="0070C0"/>
              <w:start w:val="single" w:sz="8" w:space="0" w:color="0070C0"/>
              <w:bottom w:val="single" w:sz="8" w:space="0" w:color="0070C0"/>
              <w:end w:val="single" w:sz="8" w:space="0" w:color="0070C0"/>
            </w:tcBorders>
            <w:shd w:color="auto" w:fill="D9EAF7" w:val="clear"/>
          </w:tcPr>
          <w:p>
            <w:pPr>
              <w:pStyle w:val="Normal"/>
              <w:spacing w:before="0" w:after="0"/>
              <w:rPr>
                <w:rFonts w:ascii="Calibri" w:hAnsi="Calibri" w:cs="Calibri" w:asciiTheme="majorHAnsi" w:cstheme="majorHAnsi" w:hAnsiTheme="majorHAnsi"/>
                <w:sz w:val="20"/>
                <w:szCs w:val="20"/>
              </w:rPr>
            </w:pPr>
            <w:r>
              <w:rPr>
                <w:rFonts w:eastAsia="Calibri" w:cs="Calibri"/>
                <w:b/>
                <w:sz w:val="20"/>
              </w:rPr>
              <w:t>Assessment Status: This SSP is a management implementation assertion and control-by-control DFARS/NIST SP 800-171 compliance statement prepared for C3PAO review. VTC currently asserts 102 requirements as Met, 0 as Not Met, and 8 as proposed Not Applicable. The C3PAO independently validates scope, applicability, implementation, evidence, and assessment objectives and makes the formal assessment determination.</w:t>
            </w:r>
          </w:p>
        </w:tc>
      </w:tr>
    </w:tbl>
    <w:p>
      <w:pPr>
        <w:pStyle w:val="Heading2"/>
        <w:rPr>
          <w:rFonts w:cs="Calibri" w:cstheme="majorHAnsi"/>
        </w:rPr>
      </w:pPr>
      <w:bookmarkStart w:id="6" w:name="__RefHeading___Toc4601_3414231214"/>
      <w:bookmarkStart w:id="7" w:name="_Toc235338112"/>
      <w:bookmarkEnd w:id="6"/>
      <w:r>
        <w:rPr>
          <w:rFonts w:eastAsia="Calibri" w:cs="Calibri" w:cstheme="majorHAnsi"/>
          <w:sz w:val="20"/>
        </w:rPr>
        <w:t>1.1 Regulatory Basis</w:t>
      </w:r>
      <w:bookmarkEnd w:id="7"/>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32 CFR Part 170, CMMC Program.</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NIST SP 800-171 Rev. 2 and NIST SP 800-171A assessment objectives.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Current CMMC Level 2 Assessment and Scoping Guides.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Applicable DFARS clauses, including safeguarding, assessment, incident reporting, and certification requirements in the contract.</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NIST SP 800-53 Rev. 4 source-control mapping in NIST SP 800-171 Rev. 2 Appendix D.</w:t>
      </w:r>
    </w:p>
    <w:p>
      <w:pPr>
        <w:pStyle w:val="Heading2"/>
        <w:rPr>
          <w:rFonts w:cs="Calibri" w:cstheme="majorHAnsi"/>
        </w:rPr>
      </w:pPr>
      <w:bookmarkStart w:id="8" w:name="__RefHeading___Toc4603_3414231214"/>
      <w:bookmarkStart w:id="9" w:name="_Toc235338113"/>
      <w:bookmarkEnd w:id="8"/>
      <w:r>
        <w:rPr>
          <w:rFonts w:eastAsia="Calibri" w:cs="Calibri" w:cstheme="majorHAnsi"/>
          <w:sz w:val="20"/>
        </w:rPr>
        <w:t>1.2 Document Approval and Use</w:t>
      </w:r>
      <w:bookmarkEnd w:id="9"/>
    </w:p>
    <w:p>
      <w:pPr>
        <w:pStyle w:val="Normal"/>
        <w:spacing w:before="0" w:after="120"/>
        <w:rPr>
          <w:rFonts w:ascii="Calibri" w:hAnsi="Calibri" w:cs="Calibri" w:asciiTheme="majorHAnsi" w:cstheme="majorHAnsi" w:hAnsiTheme="majorHAnsi"/>
        </w:rPr>
      </w:pPr>
      <w:r>
        <w:rPr>
          <w:rFonts w:eastAsia="Calibri" w:cs="Calibri" w:cstheme="majorHAnsi"/>
          <w:sz w:val="21"/>
        </w:rPr>
        <w:t>The approved electronic copy in the designated GCC High evidence repository is authoritative. Printed or exported copies are uncontrolled unless separately marked and tracked. The System Owner approves the SSP and material changes; the Security Officer maintains technical content and evidence; the Compliance Reviewer verifies consistency and readiness.</w:t>
      </w:r>
    </w:p>
    <w:p>
      <w:pPr>
        <w:pStyle w:val="Heading2"/>
        <w:rPr/>
      </w:pPr>
      <w:bookmarkStart w:id="10" w:name="__RefHeading___Toc4605_3414231214"/>
      <w:bookmarkEnd w:id="10"/>
      <w:r>
        <w:rPr>
          <w:rFonts w:eastAsia="Calibri" w:cs="Calibri"/>
          <w:sz w:val="20"/>
        </w:rPr>
        <w:t>1.3 Management Assessment, Evidence Maturity, and Independent Review</w:t>
      </w:r>
    </w:p>
    <w:p>
      <w:pPr>
        <w:pStyle w:val="Normal"/>
        <w:rPr/>
      </w:pPr>
      <w:r>
        <w:rPr>
          <w:rFonts w:eastAsia="Calibri" w:cs="Calibri"/>
          <w:sz w:val="20"/>
        </w:rPr>
        <w:t>Formal requirement and objective statuses in this package use only Met, Not Met, or Not Applicable. The entries are VTC management assertions for readiness and do not constitute a C3PAO determination. Joseph Murray is responsible for technical implementation and evidence production; Patrick Hanner performs an independent consistency and evidence-availability review; James Marshall approves scope, privileged access, high-risk changes, exceptions, and final management assertions. Lazarus Alliance independently performs the formal examine, interview, and test activities.</w:t>
      </w:r>
    </w:p>
    <w:p>
      <w:pPr>
        <w:pStyle w:val="Normal"/>
        <w:rPr/>
      </w:pPr>
      <w:r>
        <w:rPr>
          <w:rFonts w:eastAsia="Calibri" w:cs="Calibri"/>
          <w:sz w:val="20"/>
        </w:rPr>
        <w:t>The enclave baseline was placed into its current assessment-ready configuration on 07/18/2026, and no live CUI had been stored as of that date. The SSP does not claim operating history before a control or logging source was activated. For recurring practices, evidence covers the actual period since activation, including completed initial baseline reviews where identified, and subsequent reviews are performed at the stated cadence. Configured retention periods and annual/quarterly frequencies describe the approved requirement going forward rather than an assertion that every historical cycle predates the enclave.</w:t>
      </w:r>
    </w:p>
    <w:p>
      <w:pPr>
        <w:pStyle w:val="Heading1"/>
        <w:rPr>
          <w:rFonts w:cs="Calibri" w:cstheme="majorHAnsi"/>
        </w:rPr>
      </w:pPr>
      <w:bookmarkStart w:id="11" w:name="__RefHeading___Toc4607_3414231214"/>
      <w:bookmarkStart w:id="12" w:name="_Toc235338114"/>
      <w:bookmarkEnd w:id="11"/>
      <w:r>
        <w:rPr>
          <w:rFonts w:eastAsia="Calibri" w:cs="Calibri" w:cstheme="majorHAnsi"/>
          <w:sz w:val="20"/>
        </w:rPr>
        <w:t>2. Organization and System Overview</w:t>
      </w:r>
      <w:bookmarkEnd w:id="12"/>
    </w:p>
    <w:tbl>
      <w:tblPr>
        <w:tblW w:w="9921"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2964"/>
        <w:gridCol w:w="6956"/>
      </w:tblGrid>
      <w:tr>
        <w:trPr>
          <w:tblHeader w:val="true"/>
          <w:cantSplit w:val="true"/>
        </w:trPr>
        <w:tc>
          <w:tcPr>
            <w:tcW w:w="2964"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Attribute</w:t>
            </w:r>
          </w:p>
        </w:tc>
        <w:tc>
          <w:tcPr>
            <w:tcW w:w="695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Value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Legal Name</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Visionary Technology Consultants, LLC</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CAGE Code</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4THU4</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Unique Entity Identifier (UEI)</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N7RSFDPETQ93</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Primary Location</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8181 Maple Lawn Blvd., Suite 420, Fulton, MD 20759</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System / Enclave Name</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VTC Microsoft 365 GCC High CUI Enclave</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Assessment Target</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CMMC Level 2 / NIST SP 800-171 Rev. 2 (110 requirements)</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System Owner</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James (Jay) Marshall, President</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Officer / Administrator</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Joseph Murray</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Compliance Reviewer</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Patrick Hanner</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Revision Date</w:t>
            </w:r>
          </w:p>
        </w:tc>
        <w:tc>
          <w:tcPr>
            <w:tcW w:w="695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widowControl/>
              <w:suppressAutoHyphens w:val="true"/>
              <w:bidi w:val="0"/>
              <w:spacing w:lineRule="auto" w:line="259" w:before="0" w:after="100"/>
              <w:jc w:val="start"/>
              <w:rPr/>
            </w:pPr>
            <w:r>
              <w:rPr>
                <w:rFonts w:eastAsia="Calibri" w:cs="Calibri"/>
                <w:sz w:val="20"/>
              </w:rPr>
              <w:t>07/20/2026</w:t>
            </w:r>
          </w:p>
        </w:tc>
      </w:tr>
      <w:tr>
        <w:trPr>
          <w:cantSplit w:val="true"/>
        </w:trPr>
        <w:tc>
          <w:tcPr>
            <w:tcW w:w="296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 Operational Status</w:t>
            </w:r>
          </w:p>
        </w:tc>
        <w:tc>
          <w:tcPr>
            <w:tcW w:w="695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CUI-capable; no live CUI stored as of 07/18/2026</w:t>
            </w:r>
          </w:p>
        </w:tc>
      </w:tr>
    </w:tbl>
    <w:p>
      <w:pPr>
        <w:pStyle w:val="Heading2"/>
        <w:rPr>
          <w:rFonts w:cs="Calibri" w:cstheme="majorHAnsi"/>
        </w:rPr>
      </w:pPr>
      <w:bookmarkStart w:id="13" w:name="__RefHeading___Toc4609_3414231214"/>
      <w:bookmarkStart w:id="14" w:name="_Toc235338115"/>
      <w:bookmarkEnd w:id="13"/>
      <w:r>
        <w:rPr>
          <w:rFonts w:eastAsia="Calibri" w:cs="Calibri" w:cstheme="majorHAnsi"/>
          <w:sz w:val="20"/>
        </w:rPr>
        <w:t>2.1 Business and CUI Use Case</w:t>
      </w:r>
      <w:bookmarkEnd w:id="14"/>
    </w:p>
    <w:p>
      <w:pPr>
        <w:pStyle w:val="Normal"/>
        <w:spacing w:before="0" w:after="120"/>
        <w:rPr>
          <w:rFonts w:ascii="Calibri" w:hAnsi="Calibri" w:cs="Calibri" w:asciiTheme="majorHAnsi" w:cstheme="majorHAnsi" w:hAnsiTheme="majorHAnsi"/>
        </w:rPr>
      </w:pPr>
      <w:r>
        <w:rPr>
          <w:rFonts w:eastAsia="Calibri" w:cs="Calibri" w:cstheme="majorHAnsi"/>
          <w:sz w:val="20"/>
        </w:rPr>
        <w:t>VTC performs services for U.S. Government and defense-related customers. The enclave is established to receive CUI through the designated GCC High Exchange mailbox or an approved SharePoint transfer, store authoritative CUI in the designated SharePoint CUI site, process it on VTC_CUI_WS1, and transmit it through approved GCC High workflows. As of 07/18/2026, no live CUI is stored; readiness evidence and synthetic data are used for testing. The absence of live CUI does not reduce the obligation to maintain the approved configuration before CUI is introduced.</w:t>
      </w:r>
    </w:p>
    <w:p>
      <w:pPr>
        <w:pStyle w:val="Heading2"/>
        <w:rPr>
          <w:rFonts w:cs="Calibri" w:cstheme="majorHAnsi"/>
        </w:rPr>
      </w:pPr>
      <w:bookmarkStart w:id="15" w:name="__RefHeading___Toc4611_3414231214"/>
      <w:bookmarkStart w:id="16" w:name="_Toc235338116"/>
      <w:bookmarkEnd w:id="15"/>
      <w:r>
        <w:rPr>
          <w:rFonts w:eastAsia="Calibri" w:cs="Calibri" w:cstheme="majorHAnsi"/>
          <w:sz w:val="20"/>
        </w:rPr>
        <w:t>2.2 System Operational Model</w:t>
      </w:r>
      <w:bookmarkEnd w:id="16"/>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One dedicated, wired, managed endpoint: VTC_CUI_WS1.</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Microsoft 365 GCC High with a designated Exchange CUI mailbox for controlled receipt and authorized transmission, and a designated SharePoint CUI site as the authoritative working repository.</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Microsoft Entra ID for identity, MFA, Conditional Access, device restriction, mobile/BYOD denial, and role/group management.</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Microsoft Intune for endpoint enrollment, configuration, compliance, inventory, updates, encryption, and audit-policy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Microsoft Defender for endpoint protection, vulnerability/exposure review, alerts, investigation, and monitoring.</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Microsoft Purview/Unified Audit, Exchange/SharePoint audit, Windows Event Logs, and UDM-Pro/UniFi logs for accountability, correlation, and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Ubiquiti UDM-Pro/UniFi gateway providing a dedicated CUI VLAN/port and deny-by-default network boundary.</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Authorized cloud remote/network access is limited to outbound TLS sessions from VTC_CUI_WS1 to approved GCC High services. Inbound remote interactive access, VPN/RDP, wireless, removable media, public hosting, VoIP CUI workflows, and alternate work sites are prohibited.</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Control HUB is an in-scope Security Protection Asset/External Service Provider for approved security-protection data and assessment evidence; it is not authorized for CUI.</w:t>
      </w:r>
    </w:p>
    <w:p>
      <w:pPr>
        <w:pStyle w:val="Heading1"/>
        <w:rPr>
          <w:rFonts w:cs="Calibri" w:cstheme="majorHAnsi"/>
        </w:rPr>
      </w:pPr>
      <w:bookmarkStart w:id="17" w:name="__RefHeading___Toc4613_3414231214"/>
      <w:bookmarkStart w:id="18" w:name="_Toc235338117"/>
      <w:bookmarkEnd w:id="17"/>
      <w:r>
        <w:rPr>
          <w:rFonts w:eastAsia="Calibri" w:cs="Calibri" w:cstheme="majorHAnsi"/>
          <w:sz w:val="20"/>
        </w:rPr>
        <w:t>3. Assessment Scope and System Boundary</w:t>
      </w:r>
      <w:bookmarkEnd w:id="18"/>
    </w:p>
    <w:p>
      <w:pPr>
        <w:pStyle w:val="Normal"/>
        <w:spacing w:before="0" w:after="120"/>
        <w:rPr>
          <w:rFonts w:ascii="Calibri" w:hAnsi="Calibri" w:cs="Calibri" w:asciiTheme="majorHAnsi" w:cstheme="majorHAnsi" w:hAnsiTheme="majorHAnsi"/>
        </w:rPr>
      </w:pPr>
      <w:r>
        <w:rPr>
          <w:rFonts w:eastAsia="Calibri" w:cs="Calibri" w:cstheme="majorHAnsi"/>
          <w:sz w:val="21"/>
        </w:rPr>
        <w:t>The assessment scope is the set of assets, people, facilities, technologies, services, and external dependencies that process, store, transmit, or protect CUI. The authoritative detailed inventory and scoping decisions are maintained in VTC-IMS-SSP-992.</w:t>
      </w:r>
    </w:p>
    <w:p>
      <w:pPr>
        <w:pStyle w:val="Heading2"/>
        <w:rPr>
          <w:rFonts w:cs="Calibri" w:cstheme="majorHAnsi"/>
        </w:rPr>
      </w:pPr>
      <w:bookmarkStart w:id="19" w:name="__RefHeading___Toc4615_3414231214"/>
      <w:bookmarkStart w:id="20" w:name="_Toc235338118"/>
      <w:bookmarkEnd w:id="19"/>
      <w:r>
        <w:rPr>
          <w:rFonts w:eastAsia="Calibri" w:cs="Calibri" w:cstheme="majorHAnsi"/>
          <w:sz w:val="20"/>
        </w:rPr>
        <w:t>3.1 CMMC Asset Categories</w:t>
      </w:r>
      <w:bookmarkEnd w:id="20"/>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458"/>
        <w:gridCol w:w="4806"/>
        <w:gridCol w:w="4092"/>
      </w:tblGrid>
      <w:tr>
        <w:trPr>
          <w:tblHeader w:val="true"/>
          <w:cantSplit w:val="true"/>
        </w:trPr>
        <w:tc>
          <w:tcPr>
            <w:tcW w:w="1458"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Category</w:t>
            </w:r>
          </w:p>
        </w:tc>
        <w:tc>
          <w:tcPr>
            <w:tcW w:w="480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Current Assets / Services</w:t>
            </w:r>
          </w:p>
        </w:tc>
        <w:tc>
          <w:tcPr>
            <w:tcW w:w="4092"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Assessment Treatment</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 Assets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VTC_CUI_WS1, the designated GCC High Exchange CUI mailbox, and the designated GCC High SharePoint CUI site.</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Full CMMC Level 2 assessment scope.</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Entra, Intune, Defender, Purview, UDM-Pro/UniFi, Control HUB, and any system that provides security functions or stores security-protection data.</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Assessed against relevant requirements; configuration and evidence are included.</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Contractor Risk Managed Assets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Other GCC High services, including Teams and OneDrive, that do not process/store/transmit CUI but remain within the enterprise environment.</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Documented and governed; included as required by the scoping guide.</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Specialized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None currently identified.</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Any future OT/IoT/test equipment is classified and scoped before use.</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External Service Providers</w:t>
            </w:r>
          </w:p>
        </w:tc>
        <w:tc>
          <w:tcPr>
            <w:tcW w:w="480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cloud services, the Control HUB hosting provider, and any provider supporting security functions.</w:t>
            </w:r>
          </w:p>
        </w:tc>
        <w:tc>
          <w:tcPr>
            <w:tcW w:w="4092"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Documented in the ESP/CRM matrix; provider evidence and VTC configuration responsibilities retained.</w:t>
            </w:r>
          </w:p>
        </w:tc>
      </w:tr>
      <w:tr>
        <w:trPr>
          <w:cantSplit w:val="true"/>
        </w:trPr>
        <w:tc>
          <w:tcPr>
            <w:tcW w:w="1458"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Out-of-Scope Assets</w:t>
            </w:r>
          </w:p>
        </w:tc>
        <w:tc>
          <w:tcPr>
            <w:tcW w:w="480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Personal devices, public website, guest wireless, corporate non-enclave devices, and unapproved services.</w:t>
            </w:r>
          </w:p>
        </w:tc>
        <w:tc>
          <w:tcPr>
            <w:tcW w:w="4092"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Technically/administratively excluded from CUI handling.</w:t>
            </w:r>
          </w:p>
        </w:tc>
      </w:tr>
    </w:tbl>
    <w:p>
      <w:pPr>
        <w:pStyle w:val="Heading2"/>
        <w:rPr>
          <w:rFonts w:cs="Calibri" w:cstheme="majorHAnsi"/>
        </w:rPr>
      </w:pPr>
      <w:bookmarkStart w:id="21" w:name="__RefHeading___Toc4617_3414231214"/>
      <w:bookmarkStart w:id="22" w:name="_Toc235338119"/>
      <w:bookmarkEnd w:id="21"/>
      <w:r>
        <w:rPr>
          <w:rFonts w:eastAsia="Calibri" w:cs="Calibri" w:cstheme="majorHAnsi"/>
          <w:sz w:val="20"/>
        </w:rPr>
        <w:t>3.2 In-Scope and Related Asset Inventory</w:t>
      </w:r>
      <w:bookmarkEnd w:id="22"/>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575"/>
        <w:gridCol w:w="1124"/>
        <w:gridCol w:w="4053"/>
        <w:gridCol w:w="3603"/>
      </w:tblGrid>
      <w:tr>
        <w:trPr>
          <w:tblHeader w:val="true"/>
          <w:cantSplit w:val="true"/>
        </w:trPr>
        <w:tc>
          <w:tcPr>
            <w:tcW w:w="1575"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Asset / Service</w:t>
            </w:r>
          </w:p>
        </w:tc>
        <w:tc>
          <w:tcPr>
            <w:tcW w:w="1124"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Category</w:t>
            </w:r>
          </w:p>
        </w:tc>
        <w:tc>
          <w:tcPr>
            <w:tcW w:w="4053"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Security Characteristics</w:t>
            </w:r>
          </w:p>
        </w:tc>
        <w:tc>
          <w:tcPr>
            <w:tcW w:w="3603"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Function / Identifier Source</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VTC_CUI_WS1</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Windows 11 Pro, current approved production security build recorded in VTC-IMS-SSP-916; TPM 2.0; Entra joined; Intune managed; Defender onboarded; BitLocker; Windows Hello for Business/FIDO2; advanced audit policy.</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Primary managed workstation for authorized CUI access and processing. Exact build, serial number, Entra device ID, Intune ID, MAC address, and cryptographic-module evidence are maintained in the authoritative inventory.</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Designated SharePoint CUI Site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365 GCC High SharePoint Online; restricted membership; external/public sharing prohibited; auditing and retention enabled.</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Authoritative working repository for CUI and final security evidence.</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Designated Exchange CUI Mailbox</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CUI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365 GCC High Exchange Online; restricted mailbox and delegation; Conditional Access; external auto-forwarding prohibited; auditing and retention enabled.</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Authorized receipt and transmission of CUI. Attachments and working files are moved to the designated SharePoint CUI site when required by the approved workflow.</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Entra ID</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Identity, MFA, Conditional Access, groups, privileged roles, sign-in and audit records.</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Provides identity and access protection for the enclave.</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Intune</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Device enrollment, compliance, configuration, update, inventory, and encryption management.</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Protects and validates the endpoint.</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Defender</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Endpoint protection, alerts, vulnerability/exposure information, hunting and device evidence.</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Detects malicious code, vulnerabilities, and attacks.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Microsoft Purview / Audit</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Audit search, activity records, compliance evidence, and approved information protection controls.</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Supports auditability and evidence.</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UDM-Pro / UniFi Gateway</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Dedicated CUI VLAN and wired port; deny-by-default boundary; approved DNS/NTP/HTTPS/update traffic.</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Controls ingress, egress, and network segmentation.</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Control HUB</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Protection Asset / ESP</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No CUI authorized. Stores approved security-protection data, final policies, evidence, metadata, hashes, and secure links; SSO/MFA, least privilege, encryption, logging, backup, and read-only assessor access are enforced.</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In-scope assessor/evidence portal. Provider and VTC responsibilities are documented in VTC-IMS-SSP-984 and VTC-IMS-SSP-985.</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Other GCC High Services</w:t>
            </w:r>
          </w:p>
        </w:tc>
        <w:tc>
          <w:tcPr>
            <w:tcW w:w="1124"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CRMA / Restricted</w:t>
            </w:r>
          </w:p>
        </w:tc>
        <w:tc>
          <w:tcPr>
            <w:tcW w:w="405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Teams, OneDrive, non-designated Exchange mailboxes, and other services are not authorized for CUI unless formally approved and added to the data flow.</w:t>
            </w:r>
          </w:p>
        </w:tc>
        <w:tc>
          <w:tcPr>
            <w:tcW w:w="3603"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May be used for non-CUI corporate activity under tenant controls.</w:t>
            </w:r>
          </w:p>
        </w:tc>
      </w:tr>
      <w:tr>
        <w:trPr>
          <w:cantSplit w:val="true"/>
        </w:trPr>
        <w:tc>
          <w:tcPr>
            <w:tcW w:w="1575"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Personal Devices / Personal Cloud / Guest Wi-Fi</w:t>
            </w:r>
          </w:p>
        </w:tc>
        <w:tc>
          <w:tcPr>
            <w:tcW w:w="1124"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Out of Scope / Prohibited</w:t>
            </w:r>
          </w:p>
        </w:tc>
        <w:tc>
          <w:tcPr>
            <w:tcW w:w="405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No CUI access or storage; no connection to the CUI VLAN.</w:t>
            </w:r>
          </w:p>
        </w:tc>
        <w:tc>
          <w:tcPr>
            <w:tcW w:w="3603"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Excluded by policy, architecture, and access controls.</w:t>
            </w:r>
          </w:p>
        </w:tc>
      </w:tr>
    </w:tbl>
    <w:p>
      <w:pPr>
        <w:pStyle w:val="Heading2"/>
        <w:rPr>
          <w:rFonts w:cs="Calibri" w:cstheme="majorHAnsi"/>
        </w:rPr>
      </w:pPr>
      <w:bookmarkStart w:id="23" w:name="__RefHeading___Toc4619_3414231214"/>
      <w:bookmarkStart w:id="24" w:name="_Toc235338120"/>
      <w:bookmarkEnd w:id="23"/>
      <w:r>
        <w:rPr>
          <w:rFonts w:eastAsia="Calibri" w:cs="Calibri" w:cstheme="majorHAnsi"/>
          <w:sz w:val="20"/>
        </w:rPr>
        <w:t>3.3 Network and Data-Flow Boundary</w:t>
      </w:r>
      <w:bookmarkEnd w:id="24"/>
    </w:p>
    <w:p>
      <w:pPr>
        <w:pStyle w:val="Normal"/>
        <w:jc w:val="center"/>
        <w:rPr>
          <w:rFonts w:ascii="Calibri" w:hAnsi="Calibri" w:cs="Calibri" w:asciiTheme="majorHAnsi" w:cstheme="majorHAnsi" w:hAnsiTheme="majorHAnsi"/>
        </w:rPr>
      </w:pPr>
      <w:r>
        <w:rPr/>
        <w:drawing>
          <wp:inline distT="0" distB="0" distL="0" distR="0">
            <wp:extent cx="5897880" cy="3604260"/>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5897880" cy="3604260"/>
                    </a:xfrm>
                    <a:prstGeom prst="rect">
                      <a:avLst/>
                    </a:prstGeom>
                    <a:noFill/>
                  </pic:spPr>
                </pic:pic>
              </a:graphicData>
            </a:graphic>
          </wp:inline>
        </w:drawing>
      </w:r>
    </w:p>
    <w:p>
      <w:pPr>
        <w:pStyle w:val="Normal"/>
        <w:jc w:val="center"/>
        <w:rPr>
          <w:rFonts w:ascii="Calibri" w:hAnsi="Calibri" w:cs="Calibri" w:asciiTheme="majorHAnsi" w:cstheme="majorHAnsi" w:hAnsiTheme="majorHAnsi"/>
        </w:rPr>
      </w:pPr>
      <w:r>
        <w:rPr>
          <w:rFonts w:eastAsia="Calibri" w:cs="Calibri" w:cstheme="majorHAnsi"/>
          <w:i/>
          <w:color w:val="404040"/>
          <w:sz w:val="20"/>
        </w:rPr>
        <w:t>Figure 1. VTC CUI enclave boundary and authorized data flow.</w:t>
      </w:r>
    </w:p>
    <w:p>
      <w:pPr>
        <w:pStyle w:val="Normal"/>
        <w:spacing w:before="0" w:after="120"/>
        <w:rPr>
          <w:rFonts w:ascii="Calibri" w:hAnsi="Calibri" w:cs="Calibri" w:asciiTheme="majorHAnsi" w:cstheme="majorHAnsi" w:hAnsiTheme="majorHAnsi"/>
        </w:rPr>
      </w:pPr>
      <w:r>
        <w:rPr>
          <w:rFonts w:eastAsia="Calibri" w:cs="Calibri" w:cstheme="majorHAnsi"/>
          <w:sz w:val="21"/>
        </w:rPr>
        <w:t>CUI enters through the designated GCC High Exchange mailbox or an authorized SharePoint transfer. Authorized users access both services only from VTC_CUI_WS1 through outbound TLS sessions traversing the UDM-Pro/UniFi boundary and Entra Conditional Access controls. The SharePoint CUI site is the authoritative working repository; Exchange retains message records in accordance with contract and records requirements. These cloud sessions are treated as controlled remote/network access and are monitored through Entra, Purview, Exchange/SharePoint audit, Defender, and UDM-Pro logs. Inbound remote interactive access to VTC_CUI_WS1, VPN, RDP, wireless, removable-media transfer, and unapproved pathways remain prohibited. Approved security-protection data may be transferred to Control HUB, which is in scope as an SPA/ESP and is not authorized for CUI.</w:t>
      </w:r>
    </w:p>
    <w:p>
      <w:pPr>
        <w:pStyle w:val="Heading2"/>
        <w:rPr>
          <w:rFonts w:cs="Calibri" w:cstheme="majorHAnsi"/>
        </w:rPr>
      </w:pPr>
      <w:bookmarkStart w:id="25" w:name="__RefHeading___Toc4621_3414231214"/>
      <w:bookmarkStart w:id="26" w:name="_Toc235338121"/>
      <w:bookmarkEnd w:id="25"/>
      <w:r>
        <w:rPr>
          <w:rFonts w:eastAsia="Calibri" w:cs="Calibri" w:cstheme="majorHAnsi"/>
          <w:sz w:val="20"/>
        </w:rPr>
        <w:t>3.4 Control HUB Boundary Decision</w:t>
      </w:r>
      <w:bookmarkEnd w:id="26"/>
    </w:p>
    <w:p>
      <w:pPr>
        <w:pStyle w:val="Normal"/>
        <w:spacing w:before="0" w:after="120"/>
        <w:rPr>
          <w:rFonts w:ascii="Calibri" w:hAnsi="Calibri" w:cs="Calibri" w:asciiTheme="majorHAnsi" w:cstheme="majorHAnsi" w:hAnsiTheme="majorHAnsi"/>
        </w:rPr>
      </w:pPr>
      <w:r>
        <w:rPr>
          <w:rFonts w:eastAsia="Calibri" w:cs="Calibri" w:cstheme="majorHAnsi"/>
          <w:sz w:val="21"/>
        </w:rPr>
        <w:t>Control HUB is an in-scope Security Protection Asset supported by an External Service Provider recorded in the customer/shared responsibility matrix. It is not authorized to process, store, or transmit CUI. Control HUB may store final policies, approved security-protection data, evidence files, metadata, integrity hashes, and secure links required for assessment. Access is protected by SSO/MFA, least privilege, read-only and time-limited assessor roles, encryption, activity logging, backup, retention, incident response, and change management. Secrets, recovery keys, tokens, and CUI are redacted or excluded. Provider and VTC responsibilities and evidence are maintained in VTC-IMS-SSP-984 and VTC-IMS-SSP-985.</w:t>
      </w:r>
    </w:p>
    <w:p>
      <w:pPr>
        <w:pStyle w:val="Heading2"/>
        <w:rPr>
          <w:rFonts w:cs="Calibri" w:cstheme="majorHAnsi"/>
        </w:rPr>
      </w:pPr>
      <w:bookmarkStart w:id="27" w:name="__RefHeading___Toc4623_3414231214"/>
      <w:bookmarkStart w:id="28" w:name="_Toc235338122"/>
      <w:bookmarkEnd w:id="27"/>
      <w:r>
        <w:rPr>
          <w:rFonts w:eastAsia="Calibri" w:cs="Calibri" w:cstheme="majorHAnsi"/>
          <w:sz w:val="20"/>
        </w:rPr>
        <w:t>3.5 Out-of-Scope and Prohibited Paths</w:t>
      </w:r>
      <w:bookmarkEnd w:id="28"/>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Personal devices, personal email, personal cloud, consumer file transfer, and public websites.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Corporate/guest wireless and non-enclave workstations.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USB mass storage, external drives, optical media, and unowned portable storage.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Inbound remote interactive access, VPN, RDP, split tunneling, unattended remote support, and mobile hotspots.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Public or anonymous SharePoint links and external sharing not explicitly authorized.</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Teams, OneDrive, non-designated Exchange mailboxes, VoIP, printing, or collaborative devices for CUI unless formally approved and rescoped.</w:t>
      </w:r>
    </w:p>
    <w:p>
      <w:pPr>
        <w:pStyle w:val="Heading1"/>
        <w:rPr>
          <w:rFonts w:cs="Calibri" w:cstheme="majorHAnsi"/>
        </w:rPr>
      </w:pPr>
      <w:bookmarkStart w:id="29" w:name="__RefHeading___Toc4625_3414231214"/>
      <w:bookmarkStart w:id="30" w:name="_Toc235338123"/>
      <w:bookmarkEnd w:id="29"/>
      <w:r>
        <w:rPr>
          <w:rFonts w:eastAsia="Calibri" w:cs="Calibri" w:cstheme="majorHAnsi"/>
          <w:sz w:val="20"/>
        </w:rPr>
        <w:t>4. CUI Lifecycle and Handling Rules</w:t>
      </w:r>
      <w:bookmarkEnd w:id="30"/>
    </w:p>
    <w:p>
      <w:pPr>
        <w:pStyle w:val="Heading2"/>
        <w:rPr>
          <w:rFonts w:cs="Calibri" w:cstheme="majorHAnsi"/>
        </w:rPr>
      </w:pPr>
      <w:bookmarkStart w:id="31" w:name="__RefHeading___Toc4627_3414231214"/>
      <w:bookmarkStart w:id="32" w:name="_Toc235338124"/>
      <w:bookmarkEnd w:id="31"/>
      <w:r>
        <w:rPr>
          <w:rFonts w:eastAsia="Calibri" w:cs="Calibri" w:cstheme="majorHAnsi"/>
          <w:sz w:val="20"/>
        </w:rPr>
        <w:t>4.1 Receipt and Identification</w:t>
      </w:r>
      <w:bookmarkEnd w:id="32"/>
    </w:p>
    <w:p>
      <w:pPr>
        <w:pStyle w:val="Normal"/>
        <w:spacing w:before="0" w:after="120"/>
        <w:rPr>
          <w:rFonts w:ascii="Calibri" w:hAnsi="Calibri" w:cs="Calibri" w:asciiTheme="majorHAnsi" w:cstheme="majorHAnsi" w:hAnsiTheme="majorHAnsi"/>
        </w:rPr>
      </w:pPr>
      <w:r>
        <w:rPr>
          <w:rFonts w:eastAsia="Calibri" w:cs="Calibri" w:cstheme="majorHAnsi"/>
          <w:sz w:val="21"/>
        </w:rPr>
        <w:t>Before CUI is received through the designated GCC High Exchange mailbox or SharePoint transfer, the contract/data owner, CUI category, authorized recipients, markings, dissemination controls, and handling instructions are confirmed. Uncertain information is protected as CUI until clarified. The sender, message, attachment, and transfer method are validated before processing.</w:t>
      </w:r>
    </w:p>
    <w:p>
      <w:pPr>
        <w:pStyle w:val="Heading2"/>
        <w:rPr>
          <w:rFonts w:cs="Calibri" w:cstheme="majorHAnsi"/>
        </w:rPr>
      </w:pPr>
      <w:bookmarkStart w:id="33" w:name="__RefHeading___Toc4629_3414231214"/>
      <w:bookmarkStart w:id="34" w:name="_Toc235338125"/>
      <w:bookmarkEnd w:id="33"/>
      <w:r>
        <w:rPr>
          <w:rFonts w:eastAsia="Calibri" w:cs="Calibri" w:cstheme="majorHAnsi"/>
          <w:sz w:val="20"/>
        </w:rPr>
        <w:t>4.2 Storage and Processing</w:t>
      </w:r>
      <w:bookmarkEnd w:id="34"/>
    </w:p>
    <w:p>
      <w:pPr>
        <w:pStyle w:val="Normal"/>
        <w:spacing w:before="0" w:after="120"/>
        <w:rPr>
          <w:rFonts w:ascii="Calibri" w:hAnsi="Calibri" w:cs="Calibri" w:asciiTheme="majorHAnsi" w:cstheme="majorHAnsi" w:hAnsiTheme="majorHAnsi"/>
        </w:rPr>
      </w:pPr>
      <w:r>
        <w:rPr>
          <w:rFonts w:eastAsia="Calibri" w:cs="Calibri" w:cstheme="majorHAnsi"/>
          <w:sz w:val="21"/>
        </w:rPr>
        <w:t>The authoritative working copy is stored in the designated SharePoint CUI site. The designated Exchange CUI mailbox may retain the original message and attachment record in accordance with contractual and records requirements. VTC_CUI_WS1 is the sole authorized endpoint for processing. Local downloads, browser/Outlook cache, and temporary files are minimized, restricted to the encrypted endpoint, and removed when no longer required. BitLocker, documented FIPS-validated cryptographic modules, Intune compliance, Defender protection, MFA, and least-privilege SharePoint/Exchange permissions are required.</w:t>
      </w:r>
    </w:p>
    <w:p>
      <w:pPr>
        <w:pStyle w:val="Heading2"/>
        <w:rPr>
          <w:rFonts w:cs="Calibri" w:cstheme="majorHAnsi"/>
        </w:rPr>
      </w:pPr>
      <w:bookmarkStart w:id="35" w:name="__RefHeading___Toc4631_3414231214"/>
      <w:bookmarkStart w:id="36" w:name="_Toc235338126"/>
      <w:bookmarkEnd w:id="35"/>
      <w:r>
        <w:rPr>
          <w:rFonts w:eastAsia="Calibri" w:cs="Calibri" w:cstheme="majorHAnsi"/>
          <w:sz w:val="20"/>
        </w:rPr>
        <w:t>4.3 Transmission and Sharing</w:t>
      </w:r>
      <w:bookmarkEnd w:id="36"/>
    </w:p>
    <w:p>
      <w:pPr>
        <w:pStyle w:val="Normal"/>
        <w:spacing w:before="0" w:after="120"/>
        <w:rPr>
          <w:rFonts w:ascii="Calibri" w:hAnsi="Calibri" w:cs="Calibri" w:asciiTheme="majorHAnsi" w:cstheme="majorHAnsi" w:hAnsiTheme="majorHAnsi"/>
        </w:rPr>
      </w:pPr>
      <w:r>
        <w:rPr>
          <w:rFonts w:eastAsia="Calibri" w:cs="Calibri" w:cstheme="majorHAnsi"/>
          <w:sz w:val="21"/>
        </w:rPr>
        <w:t>Transmission uses authenticated GCC High Exchange or SharePoint TLS 1.2+ workflows to authorized recipients. Public links, anonymous access, external auto-forwarding, unencrypted email, personal services, removable media, and unapproved applications are prohibited. When cryptography protects CUI confidentiality, VTC relies only on documented FIPS-validated cryptographic modules and retains the applicable provider and endpoint validation/configuration evidence.</w:t>
      </w:r>
    </w:p>
    <w:p>
      <w:pPr>
        <w:pStyle w:val="Heading2"/>
        <w:rPr>
          <w:rFonts w:cs="Calibri" w:cstheme="majorHAnsi"/>
        </w:rPr>
      </w:pPr>
      <w:bookmarkStart w:id="37" w:name="__RefHeading___Toc4633_3414231214"/>
      <w:bookmarkStart w:id="38" w:name="_Toc235338127"/>
      <w:bookmarkEnd w:id="37"/>
      <w:r>
        <w:rPr>
          <w:rFonts w:eastAsia="Calibri" w:cs="Calibri" w:cstheme="majorHAnsi"/>
          <w:sz w:val="20"/>
        </w:rPr>
        <w:t>4.4 Retention, Return, and Destruction</w:t>
      </w:r>
      <w:bookmarkEnd w:id="38"/>
    </w:p>
    <w:p>
      <w:pPr>
        <w:pStyle w:val="Normal"/>
        <w:spacing w:before="0" w:after="120"/>
        <w:rPr>
          <w:rFonts w:ascii="Calibri" w:hAnsi="Calibri" w:cs="Calibri" w:asciiTheme="majorHAnsi" w:cstheme="majorHAnsi" w:hAnsiTheme="majorHAnsi"/>
        </w:rPr>
      </w:pPr>
      <w:r>
        <w:rPr>
          <w:rFonts w:eastAsia="Calibri" w:cs="Calibri" w:cstheme="majorHAnsi"/>
          <w:sz w:val="21"/>
        </w:rPr>
        <w:t>CUI is retained only as required by contract, law, records schedule, or legal hold. Return or destruction follows contract direction and NIST SP 800-88 methods. Disposal, sanitization, and certificates are documented.</w:t>
      </w:r>
    </w:p>
    <w:p>
      <w:pPr>
        <w:pStyle w:val="Heading1"/>
        <w:rPr>
          <w:rFonts w:cs="Calibri" w:cstheme="majorHAnsi"/>
        </w:rPr>
      </w:pPr>
      <w:bookmarkStart w:id="39" w:name="__RefHeading___Toc4635_3414231214"/>
      <w:bookmarkStart w:id="40" w:name="_Toc235338128"/>
      <w:bookmarkEnd w:id="39"/>
      <w:r>
        <w:rPr>
          <w:rFonts w:eastAsia="Calibri" w:cs="Calibri" w:cstheme="majorHAnsi"/>
          <w:sz w:val="20"/>
        </w:rPr>
        <w:t>5. Security Architecture</w:t>
      </w:r>
      <w:bookmarkEnd w:id="40"/>
    </w:p>
    <w:p>
      <w:pPr>
        <w:pStyle w:val="Heading2"/>
        <w:rPr>
          <w:rFonts w:cs="Calibri" w:cstheme="majorHAnsi"/>
        </w:rPr>
      </w:pPr>
      <w:bookmarkStart w:id="41" w:name="__RefHeading___Toc4637_3414231214"/>
      <w:bookmarkStart w:id="42" w:name="_Toc235338129"/>
      <w:bookmarkEnd w:id="41"/>
      <w:r>
        <w:rPr>
          <w:rFonts w:eastAsia="Calibri" w:cs="Calibri" w:cstheme="majorHAnsi"/>
          <w:sz w:val="20"/>
        </w:rPr>
        <w:t>5.1 Identity and Access</w:t>
      </w:r>
      <w:bookmarkEnd w:id="42"/>
    </w:p>
    <w:p>
      <w:pPr>
        <w:pStyle w:val="Normal"/>
        <w:spacing w:before="0" w:after="120"/>
        <w:rPr>
          <w:rFonts w:ascii="Calibri" w:hAnsi="Calibri" w:cs="Calibri" w:asciiTheme="majorHAnsi" w:cstheme="majorHAnsi" w:hAnsiTheme="majorHAnsi"/>
        </w:rPr>
      </w:pPr>
      <w:r>
        <w:rPr>
          <w:rFonts w:eastAsia="Calibri" w:cs="Calibri"/>
          <w:sz w:val="21"/>
        </w:rPr>
        <w:t>Entra ID is the authoritative identity service. Unique named accounts, separate administrative identities, least privilege, group-based Exchange/SharePoint permissions, quarterly access reviews, Conditional Access, MFA, and compliant-device restrictions are required. James Marshall uses his standard VTC account for routine management and the separate jmarshall.admin account only for approved Entra User Administrator duties. Joseph Murray uses a separately assigned administrator identity for global administration. Patrick Hanner independently reviews their privileged activity and high-risk change records at least monthly; no administrator may approve their own privileged action.</w:t>
      </w:r>
    </w:p>
    <w:p>
      <w:pPr>
        <w:pStyle w:val="Heading2"/>
        <w:rPr>
          <w:rFonts w:cs="Calibri" w:cstheme="majorHAnsi"/>
        </w:rPr>
      </w:pPr>
      <w:bookmarkStart w:id="43" w:name="__RefHeading___Toc4639_3414231214"/>
      <w:bookmarkStart w:id="44" w:name="_Toc235338130"/>
      <w:bookmarkEnd w:id="43"/>
      <w:r>
        <w:rPr>
          <w:rFonts w:eastAsia="Calibri" w:cs="Calibri" w:cstheme="majorHAnsi"/>
          <w:sz w:val="20"/>
        </w:rPr>
        <w:t>5.2 Endpoint Security</w:t>
      </w:r>
      <w:bookmarkEnd w:id="44"/>
    </w:p>
    <w:p>
      <w:pPr>
        <w:pStyle w:val="Normal"/>
        <w:spacing w:before="0" w:after="120"/>
        <w:rPr>
          <w:rFonts w:ascii="Calibri" w:hAnsi="Calibri" w:cs="Calibri" w:asciiTheme="majorHAnsi" w:cstheme="majorHAnsi" w:hAnsiTheme="majorHAnsi"/>
        </w:rPr>
      </w:pPr>
      <w:r>
        <w:rPr>
          <w:rFonts w:eastAsia="Calibri" w:cs="Calibri" w:cstheme="majorHAnsi"/>
          <w:sz w:val="21"/>
        </w:rPr>
        <w:t>VTC_CUI_WS1 is Entra joined and Intune managed. The approved baseline requires the current production Windows security build, TPM 2.0, BitLocker, a 15-minute inactivity lock, Windows Hello for Business/FIDO2 for privileged local access, Defender onboarding and real-time protection, update compliance, advanced Windows audit policy, standard-user operation, approved software, disabled/prohibited wireless and removable storage, blocked inbound remote-support tools, synchronized time, and documented cryptographic-module configuration. Optional preview operating-system updates are not used on the production CUI endpoint unless formally tested and approved.</w:t>
      </w:r>
    </w:p>
    <w:p>
      <w:pPr>
        <w:pStyle w:val="Heading2"/>
        <w:rPr>
          <w:rFonts w:cs="Calibri" w:cstheme="majorHAnsi"/>
        </w:rPr>
      </w:pPr>
      <w:bookmarkStart w:id="45" w:name="__RefHeading___Toc4641_3414231214"/>
      <w:bookmarkStart w:id="46" w:name="_Toc235338131"/>
      <w:bookmarkEnd w:id="45"/>
      <w:r>
        <w:rPr>
          <w:rFonts w:eastAsia="Calibri" w:cs="Calibri" w:cstheme="majorHAnsi"/>
          <w:sz w:val="20"/>
        </w:rPr>
        <w:t>5.3 Cloud Security</w:t>
      </w:r>
      <w:bookmarkEnd w:id="46"/>
    </w:p>
    <w:p>
      <w:pPr>
        <w:pStyle w:val="Normal"/>
        <w:spacing w:before="0" w:after="120"/>
        <w:rPr>
          <w:rFonts w:ascii="Calibri" w:hAnsi="Calibri" w:cs="Calibri" w:asciiTheme="majorHAnsi" w:cstheme="majorHAnsi" w:hAnsiTheme="majorHAnsi"/>
        </w:rPr>
      </w:pPr>
      <w:r>
        <w:rPr>
          <w:rFonts w:eastAsia="Calibri" w:cs="Calibri" w:cstheme="majorHAnsi"/>
          <w:sz w:val="21"/>
        </w:rPr>
        <w:t>The GCC High tenant provides the designated Exchange CUI mailbox, SharePoint CUI storage, Entra identity, Intune management, Defender protection, and Purview/audit capabilities. Conditional Access blocks mobile and unmanaged access; external auto-forwarding, anonymous/public links, and unapproved sharing are prohibited. VTC is responsible for tenant configuration, user/role/group decisions, evidence collection, sharing and forwarding restrictions, logging review, incident response, cryptographic evidence, and customer responsibility items.</w:t>
      </w:r>
    </w:p>
    <w:p>
      <w:pPr>
        <w:pStyle w:val="Heading2"/>
        <w:rPr>
          <w:rFonts w:cs="Calibri" w:cstheme="majorHAnsi"/>
        </w:rPr>
      </w:pPr>
      <w:bookmarkStart w:id="47" w:name="__RefHeading___Toc4643_3414231214"/>
      <w:bookmarkStart w:id="48" w:name="_Toc235338132"/>
      <w:bookmarkEnd w:id="47"/>
      <w:r>
        <w:rPr>
          <w:rFonts w:eastAsia="Calibri" w:cs="Calibri" w:cstheme="majorHAnsi"/>
          <w:sz w:val="20"/>
        </w:rPr>
        <w:t>5.4 Network and Boundary Security</w:t>
      </w:r>
      <w:bookmarkEnd w:id="48"/>
    </w:p>
    <w:p>
      <w:pPr>
        <w:pStyle w:val="Normal"/>
        <w:spacing w:before="0" w:after="120"/>
        <w:rPr>
          <w:rFonts w:ascii="Calibri" w:hAnsi="Calibri" w:cs="Calibri" w:asciiTheme="majorHAnsi" w:cstheme="majorHAnsi" w:hAnsiTheme="majorHAnsi"/>
        </w:rPr>
      </w:pPr>
      <w:r>
        <w:rPr>
          <w:rFonts w:eastAsia="Calibri" w:cs="Calibri" w:cstheme="majorHAnsi"/>
          <w:sz w:val="21"/>
        </w:rPr>
        <w:t>The UDM-Pro/UniFi gateway uses dedicated segmentation, wired connectivity, denied inbound traffic, and outbound allow-by-exception. Access from VTC_CUI_WS1 to GCC High is treated as controlled remote/network access and is routed through the managed UDM-Pro boundary and Entra Conditional Access. Inbound remote interactive access, VPN, RDP, Quick Assist/Remote Help, unattended support, and alternate network paths are prohibited. The approved connections register, firewall baseline, logging, and quarterly rule review are maintained.</w:t>
      </w:r>
    </w:p>
    <w:p>
      <w:pPr>
        <w:pStyle w:val="Heading2"/>
        <w:rPr>
          <w:rFonts w:cs="Calibri" w:cstheme="majorHAnsi"/>
        </w:rPr>
      </w:pPr>
      <w:bookmarkStart w:id="49" w:name="__RefHeading___Toc4645_3414231214"/>
      <w:bookmarkStart w:id="50" w:name="_Toc235338133"/>
      <w:bookmarkEnd w:id="49"/>
      <w:r>
        <w:rPr>
          <w:rFonts w:eastAsia="Calibri" w:cs="Calibri" w:cstheme="majorHAnsi"/>
          <w:sz w:val="20"/>
        </w:rPr>
        <w:t>5.5 Physical and Personnel Security</w:t>
      </w:r>
      <w:bookmarkEnd w:id="50"/>
    </w:p>
    <w:p>
      <w:pPr>
        <w:pStyle w:val="Normal"/>
        <w:spacing w:before="0" w:after="120"/>
        <w:rPr>
          <w:rFonts w:ascii="Calibri" w:hAnsi="Calibri" w:cs="Calibri" w:asciiTheme="majorHAnsi" w:cstheme="majorHAnsi" w:hAnsiTheme="majorHAnsi"/>
        </w:rPr>
      </w:pPr>
      <w:r>
        <w:rPr>
          <w:rFonts w:eastAsia="Calibri" w:cs="Calibri" w:cstheme="majorHAnsi"/>
          <w:sz w:val="21"/>
        </w:rPr>
        <w:t>The controlled office is locked when unattended; keys/access devices are inventoried; visitors are logged and escorted; the workstation and network equipment are protected; users are screened, trained, and promptly offboarded.</w:t>
      </w:r>
    </w:p>
    <w:p>
      <w:pPr>
        <w:pStyle w:val="Heading1"/>
        <w:rPr>
          <w:rFonts w:cs="Calibri" w:cstheme="majorHAnsi"/>
        </w:rPr>
      </w:pPr>
      <w:bookmarkStart w:id="51" w:name="__RefHeading___Toc4647_3414231214"/>
      <w:bookmarkStart w:id="52" w:name="_Toc235338134"/>
      <w:bookmarkEnd w:id="51"/>
      <w:r>
        <w:rPr>
          <w:rFonts w:eastAsia="Calibri" w:cs="Calibri" w:cstheme="majorHAnsi"/>
          <w:sz w:val="20"/>
        </w:rPr>
        <w:t>6. Roles and Responsibilities</w:t>
      </w:r>
      <w:bookmarkEnd w:id="52"/>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950"/>
        <w:gridCol w:w="1820"/>
        <w:gridCol w:w="6586"/>
      </w:tblGrid>
      <w:tr>
        <w:trPr>
          <w:tblHeader w:val="true"/>
          <w:cantSplit w:val="true"/>
        </w:trPr>
        <w:tc>
          <w:tcPr>
            <w:tcW w:w="1950"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Role</w:t>
            </w:r>
          </w:p>
        </w:tc>
        <w:tc>
          <w:tcPr>
            <w:tcW w:w="1820"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Named Responsibility</w:t>
            </w:r>
          </w:p>
        </w:tc>
        <w:tc>
          <w:tcPr>
            <w:tcW w:w="6586" w:type="dxa"/>
            <w:tcBorders>
              <w:top w:val="single" w:sz="4" w:space="0" w:color="808080"/>
              <w:start w:val="single" w:sz="4" w:space="0" w:color="808080"/>
              <w:bottom w:val="single" w:sz="4" w:space="0" w:color="80808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Core Duties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System Owner / Authorizing Official</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James (Jay) Marshall</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widowControl/>
              <w:suppressAutoHyphens w:val="true"/>
              <w:bidi w:val="0"/>
              <w:spacing w:lineRule="auto" w:line="259" w:before="0" w:after="100"/>
              <w:jc w:val="start"/>
              <w:rPr/>
            </w:pPr>
            <w:r>
              <w:rPr>
                <w:rFonts w:eastAsia="Calibri" w:cs="Calibri"/>
                <w:color w:val="000000"/>
                <w:sz w:val="20"/>
              </w:rPr>
              <w:t>Approves scope, SSP, policy, privileged-role assignments, risk exceptions, high-risk changes, closures, and the assessment engagement. Uses the standard VTC account for routine management and the separate jmarshall.admin account only for approved Entra User Administrator duties; may not self-approve personal privileged activity.</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Security Officer / System Administrator</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Joseph Murray</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widowControl/>
              <w:suppressAutoHyphens w:val="true"/>
              <w:bidi w:val="0"/>
              <w:spacing w:lineRule="auto" w:line="259" w:before="0" w:after="100"/>
              <w:jc w:val="start"/>
              <w:rPr/>
            </w:pPr>
            <w:r>
              <w:rPr>
                <w:rFonts w:eastAsia="Calibri" w:cs="Calibri"/>
                <w:color w:val="000000"/>
                <w:sz w:val="20"/>
              </w:rPr>
              <w:t>Implements and administers Entra, Intune, Defender, Purview, UDM-Pro, Control HUB, and endpoint controls; performs approved technical changes using a separate administrator identity; maintains evidence, monitoring, vulnerabilities, incidents, changes, and SSP content; may not self-approve personal privileged activity.</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Compliance Reviewer</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Patrick Hanner</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widowControl/>
              <w:suppressAutoHyphens w:val="true"/>
              <w:bidi w:val="0"/>
              <w:spacing w:lineRule="auto" w:line="259" w:before="0" w:after="100"/>
              <w:jc w:val="start"/>
              <w:rPr/>
            </w:pPr>
            <w:r>
              <w:rPr>
                <w:rFonts w:eastAsia="Calibri" w:cs="Calibri"/>
                <w:color w:val="000000"/>
                <w:sz w:val="20"/>
              </w:rPr>
              <w:t>Performs independent document/evidence review; reviews Joseph Murray and James Marshall privileged activity and high-risk change records at least monthly and after significant changes; validates closure evidence and cross-document consistency; supports C3PAO coordination.</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Authorized Users</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Approved VTC personnel</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Use only approved CUI workflow, protect credentials/CUI, complete training, follow physical/media rules, and report incidents.</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Management / HR</w:t>
            </w:r>
          </w:p>
        </w:tc>
        <w:tc>
          <w:tcPr>
            <w:tcW w:w="1820"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Designated leadership</w:t>
            </w:r>
          </w:p>
        </w:tc>
        <w:tc>
          <w:tcPr>
            <w:tcW w:w="6586" w:type="dxa"/>
            <w:tcBorders>
              <w:top w:val="single" w:sz="4" w:space="0" w:color="808080"/>
              <w:start w:val="single" w:sz="4" w:space="0" w:color="808080"/>
              <w:bottom w:val="single" w:sz="4" w:space="0" w:color="808080"/>
              <w:end w:val="single" w:sz="4" w:space="0" w:color="808080"/>
            </w:tcBorders>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Screens personnel, initiates role/termination changes, supports training/discipline, and protects HR evidence.</w:t>
            </w:r>
          </w:p>
        </w:tc>
      </w:tr>
      <w:tr>
        <w:trPr>
          <w:cantSplit w:val="true"/>
        </w:trPr>
        <w:tc>
          <w:tcPr>
            <w:tcW w:w="195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C3PAO Assessors</w:t>
            </w:r>
          </w:p>
        </w:tc>
        <w:tc>
          <w:tcPr>
            <w:tcW w:w="1820"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Independent authorized assessors</w:t>
            </w:r>
          </w:p>
        </w:tc>
        <w:tc>
          <w:tcPr>
            <w:tcW w:w="6586" w:type="dxa"/>
            <w:tcBorders>
              <w:top w:val="single" w:sz="4" w:space="0" w:color="808080"/>
              <w:start w:val="single" w:sz="4" w:space="0" w:color="808080"/>
              <w:bottom w:val="single" w:sz="4" w:space="0" w:color="808080"/>
              <w:end w:val="single" w:sz="4" w:space="0" w:color="808080"/>
            </w:tcBorders>
            <w:shd w:color="auto" w:fill="F2F2F2" w:val="clear"/>
            <w:tcMar>
              <w:top w:w="35" w:type="dxa"/>
              <w:bottom w:w="35" w:type="dxa"/>
            </w:tcM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color w:val="000000"/>
                <w:sz w:val="20"/>
                <w:szCs w:val="20"/>
              </w:rPr>
              <w:t>Receive time-limited read-only evidence access, conduct examine/interview/test activities, and make independent determinations.</w:t>
            </w:r>
          </w:p>
        </w:tc>
      </w:tr>
    </w:tbl>
    <w:p>
      <w:pPr>
        <w:pStyle w:val="Heading1"/>
        <w:rPr>
          <w:rFonts w:cs="Calibri" w:cstheme="majorHAnsi"/>
        </w:rPr>
      </w:pPr>
      <w:bookmarkStart w:id="53" w:name="__RefHeading___Toc4649_3414231214"/>
      <w:bookmarkStart w:id="54" w:name="_Toc235338135"/>
      <w:bookmarkEnd w:id="53"/>
      <w:r>
        <w:rPr>
          <w:rFonts w:eastAsia="Calibri" w:cs="Calibri" w:cstheme="majorHAnsi"/>
          <w:sz w:val="20"/>
        </w:rPr>
        <w:t>7. Security Requirement Implementation Summary</w:t>
      </w:r>
      <w:bookmarkEnd w:id="54"/>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987"/>
        <w:gridCol w:w="1237"/>
        <w:gridCol w:w="5967"/>
        <w:gridCol w:w="1164"/>
      </w:tblGrid>
      <w:tr>
        <w:trPr>
          <w:tblHeader w:val="true"/>
          <w:cantSplit w:val="true"/>
        </w:trPr>
        <w:tc>
          <w:tcPr>
            <w:tcW w:w="1987"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Domain</w:t>
            </w:r>
          </w:p>
        </w:tc>
        <w:tc>
          <w:tcPr>
            <w:tcW w:w="1237"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Requirements</w:t>
            </w:r>
          </w:p>
        </w:tc>
        <w:tc>
          <w:tcPr>
            <w:tcW w:w="5967"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Summary</w:t>
            </w:r>
          </w:p>
        </w:tc>
        <w:tc>
          <w:tcPr>
            <w:tcW w:w="1164"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AC - Access Control</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22</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Entra identities, Exchange/SharePoint groups, Conditional Access, compliant-device and device restrictions, MFA, separate admin accounts, controlled and monitored GCC High cloud access, and prohibition of unauthorized wireless/mobile/portable-storage paths.</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19 Met</w:t>
              <w:br/>
              <w:t>3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AT - Awareness and Training</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Initial and annual awareness training, role-based administrator training, CUI handling, incident reporting, and insider-threat awareness.</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3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AU - Audit and Accountability</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Purview, Entra, Exchange/SharePoint, Defender, Intune, Windows, Control HUB, and UDM-Pro/UniFi logging with synchronized time, protected access, 90-day endpoint retention, 12-month archive, weekly review, and monthly correlation.</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9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CM - Configuration Management</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Intune-managed baselines, approved software, least functionality, inventory, change approval, security-impact review, and post-change validation.</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9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IA - Identification and Authentication</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11</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Unique named identities, network MFA, TPM-backed Windows Hello for Business/FIDO2 for local privileged access, compliant-device enforcement, separate admin identities, password protection, identifier lifecycle, and session/token revocation.</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11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IR - Incident Response</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Preparation, detection, analysis, containment, recovery, evidence preservation, reporting, tracking, and annual testing.</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3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MA - Maintenance</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6</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Authorized local and Microsoft cloud-based maintenance, approved tools, separate administrator identities, MFA and compliant-device enforcement, session termination, protected off-site repair, logging, and supervised exceptions.</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6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MP - Media Protection</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9</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Designated GCC High SharePoint storage, BitLocker endpoint protection, no removable media, controlled marking/access, and approved sanitization/transport safeguards.</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7 Met</w:t>
              <w:br/>
              <w:t>2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PS - Personnel Security</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2</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Pre-access screening and immediate protection of systems/CUI during transfer, termination, or contract end.</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2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PE - Physical Protection</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6</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Controlled office, locks, key/access-device management, escorted visitors, physical access records, and alternate-site prohibition.</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5 Met</w:t>
              <w:br/>
              <w:t>1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RA - Risk Assessment</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3</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Annual and change-driven risk assessment, Defender-based vulnerability review, CISA/vendor advisories, remediation tracking, and risk acceptance.</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3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CA - Security Assessment</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4</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Annual/objective-level assessments, POA&amp;M management, continuous monitoring, and a maintained SSP.</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4 Met</w:t>
              <w:br/>
              <w:t>0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SC - System and Communications Protection</w:t>
            </w:r>
          </w:p>
        </w:tc>
        <w:tc>
          <w:tcPr>
            <w:tcW w:w="123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16</w:t>
            </w:r>
          </w:p>
        </w:tc>
        <w:tc>
          <w:tcPr>
            <w:tcW w:w="5967"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UDM-Pro deny-by-default boundary, segmentation, FIPS-validated cryptographic modules, controlled Exchange/SharePoint flow, session controls, controlled collaborative-device/VoIP capabilities, and no public or split-tunnel paths.</w:t>
            </w:r>
          </w:p>
        </w:tc>
        <w:tc>
          <w:tcPr>
            <w:tcW w:w="1164"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14 Met</w:t>
              <w:br/>
              <w:t>2 N/A</w:t>
              <w:br/>
              <w:t>0 Not Met</w:t>
            </w:r>
          </w:p>
        </w:tc>
      </w:tr>
      <w:tr>
        <w:trPr>
          <w:cantSplit w:val="true"/>
        </w:trPr>
        <w:tc>
          <w:tcPr>
            <w:tcW w:w="198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SI - System and Information Integrity</w:t>
            </w:r>
          </w:p>
        </w:tc>
        <w:tc>
          <w:tcPr>
            <w:tcW w:w="123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widowControl/>
              <w:suppressAutoHyphens w:val="true"/>
              <w:bidi w:val="0"/>
              <w:spacing w:lineRule="auto" w:line="259" w:before="0" w:after="100"/>
              <w:jc w:val="start"/>
              <w:rPr/>
            </w:pPr>
            <w:r>
              <w:rPr>
                <w:rFonts w:eastAsia="Calibri" w:cs="Calibri"/>
                <w:color w:val="000000"/>
                <w:sz w:val="20"/>
              </w:rPr>
              <w:t>7</w:t>
            </w:r>
          </w:p>
        </w:tc>
        <w:tc>
          <w:tcPr>
            <w:tcW w:w="5967"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Defender protection, updates/scans, vulnerability and advisory response, attack monitoring, and unauthorized-use detection.</w:t>
            </w:r>
          </w:p>
        </w:tc>
        <w:tc>
          <w:tcPr>
            <w:tcW w:w="1164"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vAlign w:val="center"/>
          </w:tcPr>
          <w:p>
            <w:pPr>
              <w:pStyle w:val="Normal"/>
              <w:widowControl/>
              <w:suppressAutoHyphens w:val="true"/>
              <w:bidi w:val="0"/>
              <w:spacing w:lineRule="auto" w:line="259" w:before="0" w:after="100"/>
              <w:jc w:val="start"/>
              <w:rPr/>
            </w:pPr>
            <w:r>
              <w:rPr>
                <w:rFonts w:eastAsia="Calibri" w:cs="Calibri"/>
                <w:sz w:val="20"/>
              </w:rPr>
              <w:t>7 Met</w:t>
              <w:br/>
              <w:t>0 N/A</w:t>
              <w:br/>
              <w:t>0 Not Met</w:t>
            </w:r>
          </w:p>
        </w:tc>
      </w:tr>
    </w:tbl>
    <w:p>
      <w:pPr>
        <w:pStyle w:val="Normal"/>
        <w:spacing w:before="0" w:after="120"/>
        <w:rPr>
          <w:rFonts w:ascii="Calibri" w:hAnsi="Calibri" w:cs="Calibri" w:asciiTheme="majorHAnsi" w:cstheme="majorHAnsi" w:hAnsiTheme="majorHAnsi"/>
          <w:sz w:val="20"/>
          <w:szCs w:val="20"/>
        </w:rPr>
      </w:pPr>
      <w:r>
        <w:rPr>
          <w:rFonts w:eastAsia="Calibri" w:cs="Calibri"/>
          <w:sz w:val="20"/>
        </w:rPr>
        <w:t>Appendix A contains the complete 110-requirement implementation narrative, NIST SP 800-53 source-control mapping, control-specific evidence/test expectations, and management status. VTC-IMS-SSP-991 Rev. 2.0 provides the synchronized requirement matrix and a 320-objective evidence traceability appendix aligned to the CMMC Level 2 Assessment Guide. The Continuum GRC assessor workpapers remain the authoritative assessment record.</w:t>
      </w:r>
    </w:p>
    <w:p>
      <w:pPr>
        <w:pStyle w:val="Heading1"/>
        <w:rPr>
          <w:rFonts w:cs="Calibri" w:cstheme="majorHAnsi"/>
        </w:rPr>
      </w:pPr>
      <w:bookmarkStart w:id="55" w:name="__RefHeading___Toc4651_3414231214"/>
      <w:bookmarkStart w:id="56" w:name="_Toc235338136"/>
      <w:bookmarkEnd w:id="55"/>
      <w:r>
        <w:rPr>
          <w:rFonts w:eastAsia="Calibri" w:cs="Calibri" w:cstheme="majorHAnsi"/>
          <w:sz w:val="20"/>
        </w:rPr>
        <w:t>8. DFARS Compliance Status, N.A. Rationale, and POA&amp;M</w:t>
      </w:r>
      <w:bookmarkEnd w:id="56"/>
    </w:p>
    <w:p>
      <w:pPr>
        <w:pStyle w:val="Heading2"/>
        <w:rPr>
          <w:rFonts w:cs="Calibri" w:cstheme="majorHAnsi"/>
        </w:rPr>
      </w:pPr>
      <w:bookmarkStart w:id="57" w:name="__RefHeading___Toc4653_3414231214"/>
      <w:bookmarkStart w:id="58" w:name="_Toc235338137"/>
      <w:bookmarkEnd w:id="57"/>
      <w:r>
        <w:rPr>
          <w:rFonts w:eastAsia="Calibri" w:cs="Calibri" w:cstheme="majorHAnsi"/>
          <w:sz w:val="20"/>
        </w:rPr>
        <w:t>8.1 DFARS Compliance Status - Management Assertion</w:t>
      </w:r>
      <w:bookmarkEnd w:id="58"/>
    </w:p>
    <w:p>
      <w:pPr>
        <w:pStyle w:val="Normal"/>
        <w:spacing w:before="0" w:after="120"/>
        <w:rPr>
          <w:rFonts w:ascii="Calibri" w:hAnsi="Calibri" w:cs="Calibri" w:asciiTheme="majorHAnsi" w:cstheme="majorHAnsi" w:hAnsiTheme="majorHAnsi"/>
        </w:rPr>
      </w:pPr>
      <w:r>
        <w:rPr>
          <w:rFonts w:eastAsia="Calibri" w:cs="Calibri"/>
          <w:sz w:val="20"/>
        </w:rPr>
        <w:t>VTC management asserts the following current status for the 110 NIST SP 800-171 Rev. 2 requirements: 102 Met, 0 Not Met, and 8 proposed Not Applicable. Each requirement-level status is shown in Appendix A as "(X) Met," "( ) Not Met," or "(X) Not Applicable." Evidence maturity and actual operating-history dates are described separately and do not create a fourth formal status. These entries are management assertions for pre-assessment use; Lazarus Alliance independently validates applicability, examines evidence, interviews responsible personnel, tests applicable mechanisms, and makes the formal determination.</w:t>
      </w:r>
    </w:p>
    <w:p>
      <w:pPr>
        <w:pStyle w:val="Heading2"/>
        <w:rPr>
          <w:rFonts w:cs="Calibri" w:cstheme="majorHAnsi"/>
        </w:rPr>
      </w:pPr>
      <w:bookmarkStart w:id="59" w:name="__RefHeading___Toc4655_3414231214"/>
      <w:bookmarkEnd w:id="59"/>
      <w:r>
        <w:rPr>
          <w:rFonts w:eastAsia="Calibri" w:cs="Calibri"/>
          <w:sz w:val="20"/>
        </w:rPr>
        <w:t>8.2 Proposed N.A. Items and Controlled Prohibitions</w:t>
      </w:r>
    </w:p>
    <w:tbl>
      <w:tblPr>
        <w:tblW w:w="10356"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1166"/>
        <w:gridCol w:w="9189"/>
      </w:tblGrid>
      <w:tr>
        <w:trPr>
          <w:tblHeader w:val="true"/>
          <w:cantSplit w:val="true"/>
        </w:trPr>
        <w:tc>
          <w:tcPr>
            <w:tcW w:w="1166" w:type="dxa"/>
            <w:tcBorders>
              <w:top w:val="single" w:sz="4" w:space="0" w:color="808080"/>
              <w:start w:val="single" w:sz="4" w:space="0" w:color="808080"/>
              <w:bottom w:val="single" w:sz="4" w:space="0" w:color="00000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9189" w:type="dxa"/>
            <w:tcBorders>
              <w:top w:val="single" w:sz="4" w:space="0" w:color="808080"/>
              <w:start w:val="single" w:sz="4" w:space="0" w:color="808080"/>
              <w:bottom w:val="single" w:sz="4" w:space="0" w:color="000000"/>
              <w:end w:val="single" w:sz="4" w:space="0" w:color="808080"/>
            </w:tcBorders>
            <w:shd w:color="auto" w:fill="0070C0" w:val="clear"/>
          </w:tcPr>
          <w:p>
            <w:pPr>
              <w:pStyle w:val="Normal"/>
              <w:keepLines/>
              <w:spacing w:before="0" w:after="100"/>
              <w:rPr>
                <w:rFonts w:ascii="Calibri" w:hAnsi="Calibri" w:cs="Calibri" w:asciiTheme="majorHAnsi" w:cstheme="majorHAnsi" w:hAnsiTheme="majorHAnsi"/>
                <w:sz w:val="20"/>
                <w:szCs w:val="20"/>
              </w:rPr>
            </w:pPr>
            <w:r>
              <w:rPr>
                <w:rFonts w:eastAsia="Calibri" w:cs="Calibri" w:cstheme="majorHAnsi"/>
                <w:b/>
                <w:color w:val="FFFFFF"/>
                <w:sz w:val="20"/>
                <w:szCs w:val="20"/>
              </w:rPr>
              <w:t>Current Rationale</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AC.L2-3.1.17</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authorized wireless access point or wireless CUI path exists in the assessed boundary. The disabled endpoint interface and deny test are supporting prohibition evidence.</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AC.L2-3.1.18</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mobile device is an in-scope CUI asset. Conditional Access denies mobile and unmanaged platforms; a phone may serve only as an MFA factor.</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AC.L2-3.1.19</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mobile device or mobile computing platform is authorized or technically permitted to process, store, or transmit CUI.</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MP.L2-3.8.5</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physical transport of CUI media is authorized, and no transportable CUI media is inventoried.</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MP.L2-3.8.6</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portable digital CUI media is authorized for transport; removable storage is prohibited and blocked.</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PE.L2-3.10.6</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alternate work site is authorized for CUI; device, identity, and network controls restrict CUI access to the controlled office.</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SC.L2-3.13.5</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publicly accessible system component exists within the CUI assessment boundary.</w:t>
            </w:r>
          </w:p>
        </w:tc>
      </w:tr>
      <w:tr>
        <w:trPr/>
        <w:tc>
          <w:tcPr>
            <w:tcW w:w="1166"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SC.L2-3.13.7</w:t>
            </w:r>
          </w:p>
        </w:tc>
        <w:tc>
          <w:tcPr>
            <w:tcW w:w="9189"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 VPN, remote device, split-tunnel client, hotspot, or alternate remote path is authorized or configured for CUI.</w:t>
            </w:r>
          </w:p>
        </w:tc>
      </w:tr>
    </w:tbl>
    <w:p>
      <w:pPr>
        <w:pStyle w:val="Normal"/>
        <w:spacing w:before="0" w:after="120"/>
        <w:rPr>
          <w:rFonts w:ascii="Calibri" w:hAnsi="Calibri" w:cs="Calibri" w:asciiTheme="majorHAnsi" w:cstheme="majorHAnsi" w:hAnsiTheme="majorHAnsi"/>
          <w:sz w:val="20"/>
          <w:szCs w:val="20"/>
        </w:rPr>
      </w:pPr>
      <w:r>
        <w:rPr>
          <w:rFonts w:eastAsia="Calibri" w:cs="Calibri" w:cstheme="majorHAnsi"/>
          <w:sz w:val="20"/>
        </w:rPr>
        <w:t>Each proposed N.A. decision is limited to a capability or condition that does not apply within the current assessed boundary and requires objective-level rationale and assessor confirmation. Disablement and prohibition remain supporting evidence, but a present capability that is controlled through disablement is treated as Met rather than N.A. Accordingly, collaborative-computing-device and VoIP requirements are management-assessed Met through enforced control, monitoring, and deny testing. If an excluded capability is introduced, the N.A. rationale becomes invalid and the change must be assessed before use.</w:t>
      </w:r>
    </w:p>
    <w:p>
      <w:pPr>
        <w:pStyle w:val="Heading2"/>
        <w:rPr>
          <w:rFonts w:cs="Calibri" w:cstheme="majorHAnsi"/>
        </w:rPr>
      </w:pPr>
      <w:bookmarkStart w:id="60" w:name="__RefHeading___Toc4657_3414231214"/>
      <w:bookmarkStart w:id="61" w:name="_Toc235338139"/>
      <w:bookmarkEnd w:id="60"/>
      <w:r>
        <w:rPr>
          <w:rFonts w:eastAsia="Calibri" w:cs="Calibri" w:cstheme="majorHAnsi"/>
          <w:sz w:val="20"/>
        </w:rPr>
        <w:t>8.3 POA&amp;M and Risk Treatment</w:t>
      </w:r>
      <w:bookmarkEnd w:id="61"/>
    </w:p>
    <w:p>
      <w:pPr>
        <w:pStyle w:val="Normal"/>
        <w:spacing w:before="0" w:after="120"/>
        <w:rPr>
          <w:rFonts w:ascii="Calibri" w:hAnsi="Calibri" w:cs="Calibri" w:asciiTheme="majorHAnsi" w:cstheme="majorHAnsi" w:hAnsiTheme="majorHAnsi"/>
          <w:sz w:val="20"/>
          <w:szCs w:val="20"/>
        </w:rPr>
      </w:pPr>
      <w:r>
        <w:rPr>
          <w:rFonts w:eastAsia="Calibri" w:cs="Calibri" w:cstheme="majorHAnsi"/>
          <w:sz w:val="20"/>
          <w:szCs w:val="20"/>
        </w:rPr>
        <w:t>Deficiencies are recorded in the risk register and POA&amp;M with requirement/objective, condition, risk, owner, milestones, target date, evidence, eligibility, and closure validation. Current CMMC rules governing POA&amp;M eligibility and conditional status apply. VTC does not treat an ineligible or unsupported requirement as implemented.</w:t>
      </w:r>
    </w:p>
    <w:p>
      <w:pPr>
        <w:pStyle w:val="Heading1"/>
        <w:rPr>
          <w:rFonts w:cs="Calibri" w:cstheme="majorHAnsi"/>
        </w:rPr>
      </w:pPr>
      <w:bookmarkStart w:id="62" w:name="__RefHeading___Toc4659_3414231214"/>
      <w:bookmarkStart w:id="63" w:name="_Toc235338140"/>
      <w:bookmarkEnd w:id="62"/>
      <w:r>
        <w:rPr>
          <w:rFonts w:eastAsia="Calibri" w:cs="Calibri" w:cstheme="majorHAnsi"/>
          <w:sz w:val="20"/>
        </w:rPr>
        <w:t>9. External Services and Customer Responsibilities</w:t>
      </w:r>
      <w:bookmarkEnd w:id="63"/>
    </w:p>
    <w:p>
      <w:pPr>
        <w:pStyle w:val="Normal"/>
        <w:spacing w:before="0" w:after="120"/>
        <w:rPr>
          <w:rFonts w:ascii="Calibri" w:hAnsi="Calibri" w:cs="Calibri" w:asciiTheme="majorHAnsi" w:cstheme="majorHAnsi" w:hAnsiTheme="majorHAnsi"/>
        </w:rPr>
      </w:pPr>
      <w:r>
        <w:rPr>
          <w:rFonts w:eastAsia="Calibri" w:cs="Calibri" w:cstheme="majorHAnsi"/>
          <w:sz w:val="21"/>
        </w:rPr>
        <w:t>Microsoft 365 GCC High is the primary cloud service provider for the designated Exchange CUI mailbox, SharePoint CUI site, identity, endpoint management, protection, and audit services. Control HUB and its hosting provider are in scope for Security Protection Asset functions and security-protection data but are not authorized for CUI. VTC retains provider service descriptions, authorization and cryptographic-module information, and a customer/shared responsibility matrix for identity, configuration, endpoint protection, logging, incident response, encryption, sharing, backup/recovery, retention, and monitoring.</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Provider evidence does not replace VTC configuration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VTC remains responsible for users, roles, devices, tenant settings, firewall rules, evidence, incident reporting, and contractual obligations.</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An ESP that performs a requirement or protects CUI/security data must provide adequate evidence and be included in the assessment scope.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Changes to providers, service tiers, data locations, or responsibilities require security-impact review and SSP/CRM update.</w:t>
      </w:r>
    </w:p>
    <w:p>
      <w:pPr>
        <w:pStyle w:val="Heading1"/>
        <w:rPr>
          <w:rFonts w:cs="Calibri" w:cstheme="majorHAnsi"/>
        </w:rPr>
      </w:pPr>
      <w:bookmarkStart w:id="64" w:name="__RefHeading___Toc4661_3414231214"/>
      <w:bookmarkStart w:id="65" w:name="_Toc235338141"/>
      <w:bookmarkEnd w:id="64"/>
      <w:r>
        <w:rPr>
          <w:rFonts w:eastAsia="Calibri" w:cs="Calibri" w:cstheme="majorHAnsi"/>
          <w:sz w:val="20"/>
        </w:rPr>
        <w:t>10. Continuous Monitoring and Evidence Management</w:t>
      </w:r>
      <w:bookmarkEnd w:id="65"/>
    </w:p>
    <w:p>
      <w:pPr>
        <w:pStyle w:val="Normal"/>
        <w:spacing w:before="0" w:after="120"/>
        <w:rPr>
          <w:rFonts w:ascii="Calibri" w:hAnsi="Calibri" w:cs="Calibri" w:asciiTheme="majorHAnsi" w:cstheme="majorHAnsi" w:hAnsiTheme="majorHAnsi"/>
        </w:rPr>
      </w:pPr>
      <w:r>
        <w:rPr>
          <w:rFonts w:eastAsia="Calibri" w:cs="Calibri"/>
          <w:sz w:val="21"/>
        </w:rPr>
        <w:t>Monitoring uses Defender, Entra, Intune, Purview, Exchange/SharePoint audit, Windows Event Logs, Control HUB, UDM-Pro/UniFi, and governance trackers. VTC_CUI_WS1 generates Windows Security, System, Application, Defender Operational, PowerShell Operational, and device-control records. Endpoint records are configured for at least 90 days of local retention and monthly export to restricted GCC High storage for at least 12 months. Available evidence covers the actual period since each source was activated. The Security Officer performs weekly operational review and monthly documented correlation; Patrick Hanner independently reviews privileged activity and high-risk changes at least monthly. Findings are routed to incident, change, risk, vulnerability, or POA&amp;M processes.</w:t>
      </w:r>
    </w:p>
    <w:p>
      <w:pPr>
        <w:pStyle w:val="Heading2"/>
        <w:rPr>
          <w:rFonts w:cs="Calibri" w:cstheme="majorHAnsi"/>
        </w:rPr>
      </w:pPr>
      <w:bookmarkStart w:id="66" w:name="__RefHeading___Toc4663_3414231214"/>
      <w:bookmarkStart w:id="67" w:name="_Toc235338142"/>
      <w:bookmarkEnd w:id="66"/>
      <w:r>
        <w:rPr>
          <w:rFonts w:eastAsia="Calibri" w:cs="Calibri" w:cstheme="majorHAnsi"/>
          <w:sz w:val="20"/>
        </w:rPr>
        <w:t>10.1 Evidence Quality Rules</w:t>
      </w:r>
      <w:bookmarkEnd w:id="67"/>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Use final, approved documents; draft or contradictory documents are not relied upon.</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Capture configuration context, date/time, tenant/device identity, and relevant result.</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Redact secrets, recovery keys, passwords, tokens, personal data, and unnecessary CUI.</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Preserve original exports/logs and identify screenshots as derivative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Trace each assessment objective to examine, interview, and/or test evidence.</w:t>
      </w:r>
    </w:p>
    <w:p>
      <w:pPr>
        <w:pStyle w:val="ListBullet"/>
        <w:numPr>
          <w:ilvl w:val="0"/>
          <w:numId w:val="1"/>
        </w:numPr>
        <w:spacing w:before="0" w:after="60"/>
        <w:ind w:hanging="259" w:start="432"/>
        <w:contextualSpacing/>
        <w:rPr>
          <w:rFonts w:ascii="Calibri" w:hAnsi="Calibri" w:cs="Calibri" w:asciiTheme="majorHAnsi" w:cstheme="majorHAnsi" w:hAnsiTheme="majorHAnsi"/>
        </w:rPr>
      </w:pPr>
      <w:r>
        <w:rPr>
          <w:rFonts w:eastAsia="Calibri" w:cs="Calibri" w:cstheme="majorHAnsi"/>
          <w:sz w:val="20"/>
        </w:rPr>
        <w:t>Retain assessor request/response history and superseded evidence without confusing it with the current authoritative item.</w:t>
      </w:r>
    </w:p>
    <w:p>
      <w:pPr>
        <w:pStyle w:val="Heading1"/>
        <w:rPr>
          <w:rFonts w:cs="Calibri" w:cstheme="majorHAnsi"/>
        </w:rPr>
      </w:pPr>
      <w:bookmarkStart w:id="68" w:name="__RefHeading___Toc4665_3414231214"/>
      <w:bookmarkStart w:id="69" w:name="_Toc235338143"/>
      <w:bookmarkEnd w:id="68"/>
      <w:r>
        <w:rPr>
          <w:rFonts w:eastAsia="Calibri" w:cs="Calibri" w:cstheme="majorHAnsi"/>
          <w:sz w:val="20"/>
        </w:rPr>
        <w:t>11. Incident Response and External Reporting</w:t>
      </w:r>
      <w:bookmarkEnd w:id="69"/>
    </w:p>
    <w:p>
      <w:pPr>
        <w:pStyle w:val="Normal"/>
        <w:spacing w:before="0" w:after="120"/>
        <w:rPr>
          <w:rFonts w:ascii="Calibri" w:hAnsi="Calibri" w:cs="Calibri" w:asciiTheme="majorHAnsi" w:cstheme="majorHAnsi" w:hAnsiTheme="majorHAnsi"/>
        </w:rPr>
      </w:pPr>
      <w:r>
        <w:rPr>
          <w:rFonts w:eastAsia="Calibri" w:cs="Calibri" w:cstheme="majorHAnsi"/>
          <w:sz w:val="21"/>
        </w:rPr>
        <w:t>Potential incidents are reported immediately to the Security Officer and System Owner. VTC preserves relevant images/logs and evaluates DoD/DIBNet, customer, insurer, legal, law-enforcement, and other notification obligations. Covered cyber incidents are handled under applicable DFARS reporting and preservation requirements. The response capability is tested at least annually.</w:t>
      </w:r>
    </w:p>
    <w:p>
      <w:pPr>
        <w:pStyle w:val="Heading1"/>
        <w:rPr>
          <w:rFonts w:cs="Calibri" w:cstheme="majorHAnsi"/>
        </w:rPr>
      </w:pPr>
      <w:bookmarkStart w:id="70" w:name="__RefHeading___Toc4667_3414231214"/>
      <w:bookmarkStart w:id="71" w:name="_Toc235338144"/>
      <w:bookmarkEnd w:id="70"/>
      <w:r>
        <w:rPr>
          <w:rFonts w:eastAsia="Calibri" w:cs="Calibri" w:cstheme="majorHAnsi"/>
          <w:sz w:val="20"/>
        </w:rPr>
        <w:t>12. SSP Maintenance, Review, and Approval</w:t>
      </w:r>
      <w:bookmarkEnd w:id="71"/>
    </w:p>
    <w:p>
      <w:pPr>
        <w:pStyle w:val="Normal"/>
        <w:spacing w:before="0" w:after="120"/>
        <w:rPr>
          <w:rFonts w:ascii="Calibri" w:hAnsi="Calibri" w:cs="Calibri" w:asciiTheme="majorHAnsi" w:cstheme="majorHAnsi" w:hAnsiTheme="majorHAnsi"/>
        </w:rPr>
      </w:pPr>
      <w:r>
        <w:rPr>
          <w:rFonts w:eastAsia="Calibri" w:cs="Calibri" w:cstheme="majorHAnsi"/>
          <w:sz w:val="21"/>
        </w:rPr>
        <w:t>The SSP is reviewed at least annually and after significant changes to the contract/CUI use case, Exchange/SharePoint workflow, boundary, assets, Microsoft services, endpoint build or cryptographic module, identity/MFA, network, facility, Control HUB/ESP, incident, or assessment result. Changes follow VTC-IMS-SSP-988. The System Owner approves each controlled revision and retains the previous revision.</w:t>
      </w:r>
    </w:p>
    <w:tbl>
      <w:tblPr>
        <w:tblW w:w="10368" w:type="dxa"/>
        <w:jc w:val="center"/>
        <w:tblInd w:w="0" w:type="dxa"/>
        <w:tblLayout w:type="fixed"/>
        <w:tblCellMar>
          <w:top w:w="40" w:type="dxa"/>
          <w:start w:w="35" w:type="dxa"/>
          <w:bottom w:w="40" w:type="dxa"/>
          <w:end w:w="35" w:type="dxa"/>
        </w:tblCellMar>
        <w:tblLook w:val="04a0" w:noHBand="0" w:noVBand="1" w:firstColumn="1" w:lastRow="0" w:lastColumn="0" w:firstRow="1"/>
      </w:tblPr>
      <w:tblGrid>
        <w:gridCol w:w="3958"/>
        <w:gridCol w:w="6409"/>
      </w:tblGrid>
      <w:tr>
        <w:trPr>
          <w:tblHeader w:val="true"/>
          <w:cantSplit w:val="true"/>
        </w:trPr>
        <w:tc>
          <w:tcPr>
            <w:tcW w:w="3958"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Required SSP Attachment / Evidence</w:t>
            </w:r>
          </w:p>
        </w:tc>
        <w:tc>
          <w:tcPr>
            <w:tcW w:w="6409" w:type="dxa"/>
            <w:tcBorders>
              <w:top w:val="single" w:sz="4" w:space="0" w:color="808080"/>
              <w:start w:val="single" w:sz="4" w:space="0" w:color="808080"/>
              <w:bottom w:val="single" w:sz="4" w:space="0" w:color="808080"/>
              <w:end w:val="single" w:sz="4" w:space="0" w:color="808080"/>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Authoritative Location / Related Document</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Detailed scope, asset inventory, and data flow</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VTC-IMS-SSP-992 and current GCC High inventory/data-flow exports</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110-control implementation/evidence matrix</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VTC-IMS-SSP-991</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C3PAO evidence readiness process and checklist</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VTC-IMS-SSP-990</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Master document register/source crosswalk</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VTC-IMS-SSP-989</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Configuration and change records</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VTC-IMS-SSP-988</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Audit log and review evidence</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VTC-IMS-SSP-987 and Windows/cloud/UDM/Control HUB review evidence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Risk register and POA&amp;M</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VTC-IMS-SSP-986</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Control HUB security/access records</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VTC-IMS-SSP-985</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External provider/customer responsibility matrix</w:t>
            </w:r>
          </w:p>
        </w:tc>
        <w:tc>
          <w:tcPr>
            <w:tcW w:w="6409" w:type="dxa"/>
            <w:tcBorders>
              <w:top w:val="single" w:sz="4" w:space="0" w:color="808080"/>
              <w:start w:val="single" w:sz="4" w:space="0" w:color="808080"/>
              <w:bottom w:val="single" w:sz="4" w:space="0" w:color="808080"/>
              <w:end w:val="single" w:sz="4" w:space="0" w:color="808080"/>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VTC-IMS-SSP-984/-915 and provider authorization/FIPS evidence</w:t>
            </w:r>
          </w:p>
        </w:tc>
      </w:tr>
      <w:tr>
        <w:trPr>
          <w:cantSplit w:val="true"/>
        </w:trPr>
        <w:tc>
          <w:tcPr>
            <w:tcW w:w="3958"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Supporting policies and procedures</w:t>
            </w:r>
          </w:p>
        </w:tc>
        <w:tc>
          <w:tcPr>
            <w:tcW w:w="6409" w:type="dxa"/>
            <w:tcBorders>
              <w:top w:val="single" w:sz="4" w:space="0" w:color="808080"/>
              <w:start w:val="single" w:sz="4" w:space="0" w:color="808080"/>
              <w:bottom w:val="single" w:sz="4" w:space="0" w:color="808080"/>
              <w:end w:val="single" w:sz="4" w:space="0" w:color="808080"/>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color w:val="000000"/>
                <w:sz w:val="20"/>
                <w:szCs w:val="20"/>
              </w:rPr>
              <w:t>VTC-IMS-SSP-983 through VTC-IMS-SSP-925</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Current network architecture diagram</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VTC-IMS-SSP-923 and VTC_CUI_Enclave_Network_Architecture.png</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lang w:val="pt-BR"/>
              </w:rPr>
            </w:pPr>
            <w:r>
              <w:rPr>
                <w:rFonts w:eastAsia="Calibri" w:cs="Calibri" w:cstheme="majorHAnsi"/>
                <w:sz w:val="20"/>
                <w:szCs w:val="20"/>
                <w:lang w:val="pt-BR"/>
              </w:rPr>
              <w:t>Current CUI data-flow diagram</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VTC-IMS-SSP-922 and VTC_CUI_Data_Flow_and_Lifecycle.png</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Asset, service and software inventory</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VTC-IMS-SSP-916</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Customer/shared responsibility and ESP register</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VTC-IMS-SSP-915 and VTC-IMS-SSP-914</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Role-based access control matrix</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VTC-IMS-SSP-921 and current Conditional Access/local MFA test evidence</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Personnel screening and CUI training matrix</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VTC-IMS-SSP-917</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Annual risk assessment</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VTC-IMS-SSP-919</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POA&amp;M status and closure register</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VTC-IMS-SSP-918 and updated POA&amp;M workbook</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Incident response TTX/AAR</w:t>
            </w:r>
          </w:p>
        </w:tc>
        <w:tc>
          <w:tcPr>
            <w:tcW w:w="64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VTC-IMS-SSP-920</w:t>
            </w:r>
          </w:p>
        </w:tc>
      </w:tr>
      <w:tr>
        <w:trPr>
          <w:cantSplit w:val="true"/>
        </w:trPr>
        <w:tc>
          <w:tcPr>
            <w:tcW w:w="39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Master register and readiness checklist</w:t>
            </w:r>
          </w:p>
        </w:tc>
        <w:tc>
          <w:tcPr>
            <w:tcW w:w="64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VTC-IMS-SSP-989 and VTC-IMS-SSP-990</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936" w:right="936" w:gutter="0" w:header="360" w:top="936" w:footer="360" w:bottom="936"/>
          <w:pgNumType w:fmt="decimal"/>
          <w:formProt w:val="false"/>
          <w:textDirection w:val="lrTb"/>
          <w:docGrid w:type="default" w:linePitch="360" w:charSpace="0"/>
        </w:sectPr>
      </w:pPr>
    </w:p>
    <w:p>
      <w:pPr>
        <w:pStyle w:val="Heading1"/>
        <w:rPr>
          <w:rFonts w:cs="Calibri" w:cstheme="majorHAnsi"/>
        </w:rPr>
      </w:pPr>
      <w:bookmarkStart w:id="72" w:name="__RefHeading___Toc4669_3414231214"/>
      <w:bookmarkStart w:id="73" w:name="_Toc235338145"/>
      <w:bookmarkEnd w:id="72"/>
      <w:r>
        <w:rPr>
          <w:rFonts w:eastAsia="Calibri" w:cs="Calibri" w:cstheme="majorHAnsi"/>
          <w:sz w:val="20"/>
        </w:rPr>
        <w:t>Appendix A. Requirement-Level Implementation Narratives and NIST 800-53 Mapping</w:t>
      </w:r>
      <w:bookmarkEnd w:id="73"/>
    </w:p>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74" w:name="__RefHeading___Toc4671_3414231214"/>
      <w:bookmarkStart w:id="75" w:name="_Toc235338146"/>
      <w:bookmarkEnd w:id="74"/>
      <w:r>
        <w:rPr>
          <w:rFonts w:eastAsia="Calibri" w:cs="Calibri" w:cstheme="majorHAnsi"/>
          <w:sz w:val="20"/>
        </w:rPr>
        <w:t>AC - Access Control</w:t>
      </w:r>
      <w:bookmarkEnd w:id="7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379"/>
        <w:gridCol w:w="1249"/>
        <w:gridCol w:w="5060"/>
        <w:gridCol w:w="3569"/>
        <w:gridCol w:w="125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237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24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5060"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356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53"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system access to authorized users, processes acting on behalf of authorized users, and devices (including other systems).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AC-2, AC-3, 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Entra ID provides unique named identities; access to the designated Exchange CUI mailbox and SharePoint CUI site is limited to approved users on VTC_CUI_WS1, the sole authorized compliant device. Mobile, unmanaged, and other platforms are denied.</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user/device exports; VTC_CUI_Users/Admins membership; SharePoint permissions; VTC_CUI_WS1 compliance. Test authorized and unauthorized user/device access.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system access to the types of transactions and functions that authorized users are permitted to execute.</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AC-2, AC-3, 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Entra groups, Exchange mailbox/delegation roles, SharePoint roles, and minimum administrative roles limit each user to approved transactions and functions.</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RBAC matrix; Entra role assignments; SharePoint role/permission export; standard-versus-admin account demonstration; denied privileged-function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AC.L2-3.1.3</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the flow of CUI in accordance with approved authorizations.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AC-4</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flow is restricted to the designated GCC High Exchange mailbox, SharePoint CUI site, and VTC_CUI_WS1 through approved TLS paths. Personal cloud, public links, external forwarding, removable media, and unapproved services are prohibited.</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CUI data-flow diagram; Exchange forwarding and SharePoint sharing settings; DLP/CA controls; approved transfer and prohibited-flow tests.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AC.L2-3.1.4</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Separate the duties of individuals to reduce the risk of malevolent activity without collusion.</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AC-5</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 separates authorization, implementation, and independent review. Joseph Murray performs approved technical administration and supplies change and privileged-activity evidence. Patrick Hanner independently reviews Joseph Murray and James Marshall privileged activity and change records at least monthly and after high-risk changes. James Marshall approves privileged-role assignments, high-risk changes, exceptions, and closures; no individual may approve their own privileged action.</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RBAC and separation-of-duties procedure; change/privileged-activity records; Patrick Hanner independent review; James Marshall approval; no-self-approval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AC.L2-3.1.5</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the principle of least privilege, including for specific security functions and privileged accounts.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AC-6</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Least privilege is enforced through group-based access, separate named administrator accounts, standard-user operation, quarterly access reviews, and approved time-limited exceptions. James Marshall uses his standard account for routine work and the separate jmarshall.admin account only for approved Entra User Administrator duties.</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Privileged-account register; Entra role export; group membership and quarterly access review; time-limited exception record; least-privilege validation.</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AC.L2-3.1.6</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Use non-privileged accounts or roles when accessing nonsecurity functions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AC-6</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Administrators use non-privileged accounts for email, collaboration, browsing, document access, and other nonsecurity functions. James Marshall uses his standard VTC account for routine work and jmarshall.admin only for approved administrative duties; Joseph Murray likewise uses a separately assigned administrator identity for security functions.</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Standard/admin account inventory; James Marshall standard account and jmarshall.admin evidence; Joseph Murray separate admin account; routine-use and admin-use sign-ins.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AC.L2-3.1.7</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Prevent non-privileged users from executing privileged functions and capture the execution of such functions in audit logs.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AC-6</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Standard users cannot administer Entra, Intune, Defender, Purview, SharePoint, UDM-Pro, Control HUB, or VTC_CUI_WS1. Privileged functions require an approved named administrator account and are captured in Entra, Microsoft 365, endpoint, Control HUB, and boundary audit records.</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Admin-role export; endpoint local Administrators membership; privileged audit events; standard-user denied-admin test; attributable privileged-action test.</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AC.L2-3.1.8</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unsuccessful logon attempts.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Entra smart lockout and the approved Windows account-lockout baseline limit repeated failed logons; threshold and lockout evidence are retained and suspicious failures are reviewed.</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smart-lockout/password-protection settings; Windows account-lockout baseline; failed-sign-in events; repeated-invalid-password lockout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AC.L2-3.1.9</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privacy and security notices consistent with applicable CUI rules.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AC-8</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Approved security and privacy notices are displayed at sign-in or through organizational terms/acceptable-use acknowledgments.</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CUI logon-banner text; Intune/Windows banner configuration; VTC_CUI_WS1 sign-in-screen capture; logon notice display test.</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AC.L2-3.1.10</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Use session lock with pattern-hiding displays to prevent access and viewing of data after a period of inactivity</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AC-11</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VTC_CUI_WS1 locks after 15 minutes of inactivity and uses a pattern-hiding lock display requiring reauthentication.</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Intune device-lock policy; Windows screen-lock settings; 15-minute inactivity test; pattern-hiding display capture; unlock/reauthentication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Terminate (automatically) a user session after a defined condition.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AC-12</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Endpoint and cloud sessions terminate or require reauthentication at approved sign-in-frequency, inactivity, risk, account-disablement, or administrative-revocation conditions.</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Conditional Access sign-in-frequency/session settings; endpoint lock/termination settings; token revocation evidence; disable-user and session-expiration tests.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Monitor and control remote access sessions.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Authorized remote/network access consists of outbound sessions from VTC_CUI_WS1 to GCC High Exchange, SharePoint, and approved administrative services. Sessions are controlled by Entra Conditional Access and monitored through Entra, Purview, Exchange/SharePoint, Defender, and UDM-Pro logs. Inbound remote interactive access to VTC_CUI_WS1 is prohibited.</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CA policy/export; Entra and GCC High audit/sign-in logs; UDM-Pro records; approved cloud session test; inbound RDP/VPN/remote-support deny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AC.L2-3.1.13</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cryptographic mechanisms to protect the confidentiality of remote access sessions.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Authorized cloud remote/network access uses TLS 1.2+ through documented FIPS-validated cryptographic modules. Legacy authentication, clear-text protocols, and unencrypted remote paths are blocked.</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TLS/protocol settings; legacy-authentication block; Microsoft/endpoint CMVP module evidence; secure-session capture; clear-text/legacy-path deny test.</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AC.L2-3.1.14</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Route remote access via managed access control points.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AC-17</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Authorized cloud access is routed through the managed UDM-Pro/UniFi boundary and Entra Conditional Access. Only VTC_CUI_WS1 may establish CUI sessions; direct, unmanaged, mobile, and alternate network paths are denied.</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Network and CUI-flow diagrams; UDM-Pro boundary rules; CA device filter; approved GCC High path test; unmanaged/mobile/alternate-path deny tests.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AC.L2-3.1.15</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 remote execution of privileged commands and remote access to security-relevant information.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AC-17</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Remote execution of privileged commands and remote access to security-relevant information through Entra, Intune, Defender, Purview, Exchange, and SharePoint administrative services is limited to approved separate administrator accounts using MFA and VTC_CUI_WS1. Privileged activity is logged and reviewed; remote control of the endpoint is prohibited.</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Admin-role/RBAC matrix; separate admin identities; MFA/CA evidence; privileged cloud audit events; approved admin-session test; endpoint remote-control deny test.</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AC.L2-3.1.16</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 wireless access prior to allowing such connections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AC-18</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Wireless access is not authorized for the CUI enclave. The wireless interface on VTC_CUI_WS1 is disabled by the approved endpoint baseline; any future enablement requires documented authorization, security-impact analysis, SSP/scope update, and validation before use.</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Wireless-access policy; hardware inventory; Intune/Windows Wi-Fi disablement; change-approval requirement; adapter-status and unauthorized-enable tests.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AC.L2-3.1.17</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wireless access using authentication and encryption</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AC-18</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the assessed boundary contains no authorized wireless access point or wireless CUI path. The endpoint wireless interface is disabled and deny-tested as supporting prohibition evidence; the N/A rationale is based on the absence of any authorized wireless connection in scope, not solely on a disabled setting.</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wireless inventory and disablement evidence; wired-only network diagram; Wi-Fi connection deny test; assessor confirmation that no authorized wireless path exists.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AC.L2-3.1.18</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connection of mobile devices.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AC-19</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no mobile device is an in-scope CUI asset or is authorized to process, store, or transmit CUI. Conditional Access denies iOS, Android, macOS, Linux, unknown, unmanaged, and all devices other than VTC_CUI_WS1 from CUI services. A personal phone may serve only as an authentication factor and does not receive CUI.</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CA mobile-platform/device block; device inventory; Authenticator-only restriction; iOS/Android/unmanaged-device sign-in deny tests.</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AC.L2-3.1.19</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Encrypt CUI on mobile devices and mobile computing platforms.[23]</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AC-19</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no mobile device or mobile computing platform is authorized or technically permitted to process, store, or transmit CUI; therefore no in-scope mobile CUI storage exists to encrypt.</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mobile-device prohibition; CA platform block; inventory showing no CUI-capable mobile device; mobile storage/access deny tests.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AC.L2-3.1.20</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Verify and control/limit connections to and use of external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AC-20</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External connections are limited by the UDM-Pro deny-by-default rule set, approved OAuth/application connections, and the external connections register.</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External-connections register; CRM/SRM; network/data-flow diagrams; UDM-Pro and CA restrictions; approved-provider connection review; unauthorized external-system deny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AC.L2-3.1.21</w:t>
            </w:r>
          </w:p>
        </w:tc>
        <w:tc>
          <w:tcPr>
            <w:tcW w:w="237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use of portable storage devices on external systems.</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AC-20</w:t>
            </w:r>
          </w:p>
        </w:tc>
        <w:tc>
          <w:tcPr>
            <w:tcW w:w="506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Portable storage is prohibited on external systems and within the enclave. Any exceptional use requires named ownership, approved encryption, chain-of-custody, and authorization.</w:t>
            </w:r>
          </w:p>
        </w:tc>
        <w:tc>
          <w:tcPr>
            <w:tcW w:w="35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Portable-storage policy; removable-media deny baseline; external-system prohibition; device-control logs; USB storage insertion and external-use deny tests.</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AC.L2-3.1.22</w:t>
            </w:r>
          </w:p>
        </w:tc>
        <w:tc>
          <w:tcPr>
            <w:tcW w:w="237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CUI posted or processed on publicly accessible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AC-22</w:t>
            </w:r>
          </w:p>
        </w:tc>
        <w:tc>
          <w:tcPr>
            <w:tcW w:w="506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is prohibited on public websites and public links. Public content is reviewed before posting, and public systems remain outside the CUI boundary.</w:t>
            </w:r>
          </w:p>
        </w:tc>
        <w:tc>
          <w:tcPr>
            <w:tcW w:w="35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Public-information procedure; SharePoint external/anonymous sharing settings; Exchange forwarding restrictions; public-site review; improper-posting removal exercise.</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76" w:name="__RefHeading___Toc4673_3414231214"/>
      <w:bookmarkStart w:id="77" w:name="_Toc235338147"/>
      <w:bookmarkEnd w:id="76"/>
      <w:r>
        <w:rPr>
          <w:rFonts w:eastAsia="Calibri" w:cs="Calibri" w:cstheme="majorHAnsi"/>
          <w:sz w:val="20"/>
        </w:rPr>
        <w:t>AT - Awareness and Training</w:t>
      </w:r>
      <w:bookmarkEnd w:id="7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5000"/>
        <w:gridCol w:w="1393"/>
        <w:gridCol w:w="3347"/>
        <w:gridCol w:w="2471"/>
        <w:gridCol w:w="1299"/>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5000"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393"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34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47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99"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AT.L2-3.2.1</w:t>
            </w:r>
          </w:p>
        </w:tc>
        <w:tc>
          <w:tcPr>
            <w:tcW w:w="500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Ensure that managers, systems administrators, and users of organizational systems are made aware of the security risks associated with their activities and of the applicable policies, standards, and procedures related to the security of those systems.</w:t>
            </w:r>
          </w:p>
        </w:tc>
        <w:tc>
          <w:tcPr>
            <w:tcW w:w="139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AT-2, AT-3</w:t>
            </w:r>
          </w:p>
        </w:tc>
        <w:tc>
          <w:tcPr>
            <w:tcW w:w="334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All authorized personnel complete initial and annual security awareness and CUI handling training with retained completion evidence.</w:t>
            </w:r>
          </w:p>
        </w:tc>
        <w:tc>
          <w:tcPr>
            <w:tcW w:w="24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Security/CUI awareness curriculum; completion certificates and training matrix; annual renewal record; user acknowledgments; employee interview.</w:t>
            </w:r>
          </w:p>
        </w:tc>
        <w:tc>
          <w:tcPr>
            <w:tcW w:w="129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AT.L2-3.2.2</w:t>
            </w:r>
          </w:p>
        </w:tc>
        <w:tc>
          <w:tcPr>
            <w:tcW w:w="500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Ensure that personnel are trained to carry out their assigned information security-related duties and responsibilities.</w:t>
            </w:r>
          </w:p>
        </w:tc>
        <w:tc>
          <w:tcPr>
            <w:tcW w:w="139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AT-2, AT-3</w:t>
            </w:r>
          </w:p>
        </w:tc>
        <w:tc>
          <w:tcPr>
            <w:tcW w:w="334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Administrators and control owners complete role-based training and demonstrate assigned security tasks.</w:t>
            </w:r>
          </w:p>
        </w:tc>
        <w:tc>
          <w:tcPr>
            <w:tcW w:w="24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Role-based training matrix; administrator training record; assigned-duty descriptions; completion/renewal evidence; administrator interview and demonstration.</w:t>
            </w:r>
          </w:p>
        </w:tc>
        <w:tc>
          <w:tcPr>
            <w:tcW w:w="129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AT.L2-3.2.3</w:t>
            </w:r>
          </w:p>
        </w:tc>
        <w:tc>
          <w:tcPr>
            <w:tcW w:w="500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security awareness training on recognizing and reporting potential indicators of insider threat.</w:t>
            </w:r>
          </w:p>
        </w:tc>
        <w:tc>
          <w:tcPr>
            <w:tcW w:w="139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AT-2(2)</w:t>
            </w:r>
          </w:p>
        </w:tc>
        <w:tc>
          <w:tcPr>
            <w:tcW w:w="334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Training includes insider-threat indicators, reporting channels, social engineering, abnormal behavior, and safeguarding obligations.</w:t>
            </w:r>
          </w:p>
        </w:tc>
        <w:tc>
          <w:tcPr>
            <w:tcW w:w="24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Insider-threat awareness content; completion records; reporting channels and acknowledgment; employee interview using a potential-indicator scenario.</w:t>
            </w:r>
          </w:p>
        </w:tc>
        <w:tc>
          <w:tcPr>
            <w:tcW w:w="129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78" w:name="__RefHeading___Toc4675_3414231214"/>
      <w:bookmarkStart w:id="79" w:name="_Toc235338148"/>
      <w:bookmarkEnd w:id="78"/>
      <w:r>
        <w:rPr>
          <w:rFonts w:eastAsia="Calibri" w:cs="Calibri" w:cstheme="majorHAnsi"/>
          <w:sz w:val="20"/>
        </w:rPr>
        <w:t>AU - Audit and Accountability</w:t>
      </w:r>
      <w:bookmarkEnd w:id="7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1859"/>
        <w:gridCol w:w="1117"/>
        <w:gridCol w:w="3171"/>
        <w:gridCol w:w="6150"/>
        <w:gridCol w:w="121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185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11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17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6150"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13"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AU.L2-3.3.1</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Create and retain system audit logs and records to the extent needed to enable the monitoring, analysis, investigation, and reporting of unlawful or unauthorized system activity</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lang w:val="fr-FR"/>
              </w:rPr>
            </w:pPr>
            <w:r>
              <w:rPr>
                <w:rFonts w:eastAsia="Calibri" w:cs="Calibri" w:cstheme="majorHAnsi"/>
                <w:sz w:val="20"/>
                <w:szCs w:val="20"/>
                <w:lang w:val="fr-FR"/>
              </w:rPr>
              <w:t>AU-2, AU-3, AU-6, AU-11, AU-12</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Windows Security, System, Application, Defender Operational, PowerShell Operational, device-control/removable-storage, Entra sign-in/audit, Purview, Exchange/SharePoint, Defender, Intune, Control HUB, and UDM-Pro/UniFi records are enabled. Endpoint records are configured for at least 90 days of local retention and monthly export to restricted GCC High storage for at least 12 months. Available records cover the actual period since baseline activation; the stated periods are configured retention requirements, not a claim of pre-activation history.</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Windows audit policy and EVTX samples; Entra/Purview/Exchange/SharePoint/Defender/Intune/UDM/Control HUB logs; retention configuration; archive export and retrieval test.</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AU.L2-3.3.2</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Ensure that the actions of individual system users can be uniquely traced to those users, so they can be held accountable for their actions.</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lang w:val="fr-FR"/>
              </w:rPr>
            </w:pPr>
            <w:r>
              <w:rPr>
                <w:rFonts w:eastAsia="Calibri" w:cs="Calibri" w:cstheme="majorHAnsi"/>
                <w:sz w:val="20"/>
                <w:szCs w:val="20"/>
                <w:lang w:val="fr-FR"/>
              </w:rPr>
              <w:t>AU-2, AU-3, AU-6, AU-11, AU-12</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Unique named standard and administrator accounts, device identities, service principals, and process identifiers permit actions to be traced to the responsible individual or process. James Marshall administrative activity is attributable to the individually assigned jmarshall.admin account and is distinguishable from his standard account.</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Named standard/admin account inventory; device/service identities; Entra and Windows event samples; jmarshall.admin traceability; user-to-event correlation test.</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AU.L2-3.3.3</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Review and update logged events.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AU-2</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Logged-event selections cover authentication, account and group management, privilege use, process creation, policy changes, file/mailbox access and sharing, endpoint security, device control, logging failures, system integrity, and boundary events. Selections are reviewed at least annually and after significant change or incident.</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event-selection standard; Windows Advanced Audit Policy; cloud audit configuration; annual event review record; generate and verify representative events.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AU.L2-3.3.4</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Alert in the event of an audit logging process failure.</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AU-5</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Audit-service shutdown, audit-policy change, log clearing, capacity/overwrite risk, collection/export failure, and cloud audit-service health events generate alerts or monitoring exceptions that require documented corrective action.</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Audit-failure monitoring settings; log-capacity/overwrite configuration; service-stop/policy-change events; alert/exception record; controlled logging-failure test.</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AU.L2-3.3.5</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Correlate audit record review, analysis, and reporting processes for investigation and response to indications of unlawful, unauthorized, suspicious, or unusual activity.</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AU-6</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The Security Officer performs weekly operational review and monthly documented correlation of endpoint, Entra, Purview, Exchange/SharePoint, Defender, Intune, Control HUB, and UDM-Pro records. Patrick Hanner independently reviews privileged-activity and high-risk change evidence at least monthly. Findings are escalated through incident, change, risk, or POA&amp;M processes.</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Weekly review checklist; monthly correlation record across endpoint/cloud/boundary logs; investigation ticket; reviewer sign-off; simulated suspicious-activity correlation test.</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AU.L2-3.3.6</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audit record reduction and report generation to support on-demand analysis and reporting.</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AU-7</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Purview Audit, Entra logs, Defender Advanced Hunting, Exchange/SharePoint audit, Windows Event Viewer/PowerShell, UDM-Pro reports, and original EVTX exports support filtering, reduction, correlation, and on-demand reporting without altering source records.</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Purview/Entra/Defender hunting queries; Windows/UDM exports; saved reports; source-log integrity evidence; on-demand filter, reduction, and report-generation demonstration.</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AU.L2-3.3.7</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a system capability that compares and synchronizes internal system clocks with an authoritative source to generate time stamps for audit records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AU-8</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Windows Time Service, Microsoft cloud time, and UDM-Pro NTP configuration synchronize clocks to authoritative sources; offset and time-source status are verified during monitoring.</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Windows Time Service status; Microsoft cloud timestamps; UDM-Pro NTP settings; clock-source/offset review; timestamp comparison test across log sources.</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AU.L2-3.3.8</w:t>
            </w:r>
          </w:p>
        </w:tc>
        <w:tc>
          <w:tcPr>
            <w:tcW w:w="185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audit information and audit logging tools from unauthorized access, modification, and deletion.</w:t>
            </w:r>
          </w:p>
        </w:tc>
        <w:tc>
          <w:tcPr>
            <w:tcW w:w="111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AU-9</w:t>
            </w:r>
          </w:p>
        </w:tc>
        <w:tc>
          <w:tcPr>
            <w:tcW w:w="31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Audit records and tools are protected by restricted security/compliance roles, separate administrator identities, BitLocker, GCC High access controls, Control HUB least privilege, immutable source exports where available, and logging of administrative changes and deletions.</w:t>
            </w:r>
          </w:p>
        </w:tc>
        <w:tc>
          <w:tcPr>
            <w:tcW w:w="615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Audit-role assignments; restricted log/archive permissions; BitLocker and GCC High protection; Control HUB least privilege; unauthorized log modification/deletion deny test.</w:t>
            </w:r>
          </w:p>
        </w:tc>
        <w:tc>
          <w:tcPr>
            <w:tcW w:w="121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AU.L2-3.3.9</w:t>
            </w:r>
          </w:p>
        </w:tc>
        <w:tc>
          <w:tcPr>
            <w:tcW w:w="185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management of audit logging functionality to a subset of privileged users.</w:t>
            </w:r>
          </w:p>
        </w:tc>
        <w:tc>
          <w:tcPr>
            <w:tcW w:w="111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AU-9</w:t>
            </w:r>
          </w:p>
        </w:tc>
        <w:tc>
          <w:tcPr>
            <w:tcW w:w="31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Only named security/compliance administrators may change endpoint, cloud, Control HUB, or UDM audit configuration. Permissions are reviewed quarterly. Patrick Hanner independently reviews Joseph Murray and James Marshall privileged audit-configuration activity; unauthorized changes generate reviewable events and corrective action.</w:t>
            </w:r>
          </w:p>
        </w:tc>
        <w:tc>
          <w:tcPr>
            <w:tcW w:w="615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Audit-administration role list; Entra/Intune/Purview/Windows/UDM permissions; quarterly privileged review; Patrick Hanner independent review; unauthorized-change deny test.</w:t>
            </w:r>
          </w:p>
        </w:tc>
        <w:tc>
          <w:tcPr>
            <w:tcW w:w="121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80" w:name="__RefHeading___Toc4677_3414231214"/>
      <w:bookmarkStart w:id="81" w:name="_Toc235338149"/>
      <w:bookmarkEnd w:id="80"/>
      <w:r>
        <w:rPr>
          <w:rFonts w:eastAsia="Calibri" w:cs="Calibri" w:cstheme="majorHAnsi"/>
          <w:sz w:val="20"/>
        </w:rPr>
        <w:t>CM - Configuration Management</w:t>
      </w:r>
      <w:bookmarkEnd w:id="8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4674"/>
        <w:gridCol w:w="1418"/>
        <w:gridCol w:w="3719"/>
        <w:gridCol w:w="2391"/>
        <w:gridCol w:w="1308"/>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467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41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71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39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308"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CM.L2-3.4.1</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Establish and maintain baseline configurations and inventories of organizational systems (including hardware, software, firmware, and documentation) throughout the respective system development life cycles.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CM-2, CM-6, CM-8</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Intune configuration profiles, endpoint build records, tenant settings, and UDM-Pro rules form the approved baseline for the enclave.</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VTC-IMS-SSP-916 inventory; VTC-IMS-SSP-992 scope/asset inventory; Intune hardware/software exports; approved endpoint/firewall/BitLocker baselines; inventory reconciliation.</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CM.L2-3.4.2</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Establish and enforce security configuration settings for information technology products employed in organizational systems.</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CM-2, CM-6, CM-8</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Security settings are defined, implemented, validated, and monitored through Intune, Microsoft portals, Defender, and network configuration.</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Intune security baselines; endpoint firewall/antivirus/BitLocker policy exports; UDM-Pro configuration; compliance report; deviation and remediation test.</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CM.L2-3.4.3</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Track, review, approve or disapprove, and log changes to organizational systems.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CM-3</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Configuration changes require request, approval, implementation record, audit evidence, and closure validation.</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Change request/approval record; implementation evidence; Entra/Intune/UDM audit log; post-change validation and closure; unauthorized/unlogged change detection test.</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CM.L2-3.4.4</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Analyze the security impact of changes prior to implementation.</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CM-4</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Significant changes undergo security-impact, scope, data-flow, rollback, and evidence review before implementation.</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Security-impact analysis template and completed change record; affected-control/evidence review; risk decision; preimplementation approval; post-change validation.</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CM.L2-3.4.5</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Define, document, approve, and enforce physical and logical access restrictions associated with changes to organizational systems.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CM-5</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Administrative access to configuration is restricted to named roles; physical access to endpoint/network equipment is controlled.</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Change-access authorization list; Entra roles and endpoint admin membership; physical access restrictions; change-window approval; unauthorized change attempt test.</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CM.L2-3.4.6</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the principle of least functionality by configuring organizational systems to provide only essential capabilities.</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CM-7</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Unneeded services, protocols, applications, features, wireless, remote access, and public hosting are disabled or prohibited.</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service/software inventory; Windows optional-feature/service baseline; UDM allowed services; least-functionality review; unnecessary feature disablement test.</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CM.L2-3.4.7</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Restrict, disable, or prevent the use of nonessential programs, functions, ports, protocols, and services.</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CM-7</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Only approved applications and services may operate; standard users cannot install unapproved software.</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Port/protocol/service baseline; Windows Firewall and UDM-Pro rules; blocked legacy/remote services; periodic review; prohibited port/protocol/service connection tests.</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CM.L2-3.4.8</w:t>
            </w:r>
          </w:p>
        </w:tc>
        <w:tc>
          <w:tcPr>
            <w:tcW w:w="467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Apply deny-by-exception (blacklisting) policy to prevent the use of unauthorized software or deny-all, permit-by-exception (whitelisting) policy to allow the execution of authorized software.</w:t>
            </w:r>
          </w:p>
        </w:tc>
        <w:tc>
          <w:tcPr>
            <w:tcW w:w="14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CM-7</w:t>
            </w:r>
          </w:p>
        </w:tc>
        <w:tc>
          <w:tcPr>
            <w:tcW w:w="371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 applies allow-by-exception network rules and approved-software restrictions; application execution controls are documented and validated.</w:t>
            </w:r>
          </w:p>
        </w:tc>
        <w:tc>
          <w:tcPr>
            <w:tcW w:w="239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Authorized-software list; Intune application inventory/control settings; Defender indicators/ASR where used; allowed application launch and unauthorized executable deny test.</w:t>
            </w:r>
          </w:p>
        </w:tc>
        <w:tc>
          <w:tcPr>
            <w:tcW w:w="13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CM.L2-3.4.9</w:t>
            </w:r>
          </w:p>
        </w:tc>
        <w:tc>
          <w:tcPr>
            <w:tcW w:w="467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and monitor user-installed software.</w:t>
            </w:r>
          </w:p>
        </w:tc>
        <w:tc>
          <w:tcPr>
            <w:tcW w:w="14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CM-11</w:t>
            </w:r>
          </w:p>
        </w:tc>
        <w:tc>
          <w:tcPr>
            <w:tcW w:w="371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Installed software is inventoried through Intune/Defender and reviewed; users request software rather than self-install.</w:t>
            </w:r>
          </w:p>
        </w:tc>
        <w:tc>
          <w:tcPr>
            <w:tcW w:w="239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User-installed-software policy; Intune/Defender software inventory; installation permissions; monthly software review; standard-user installation deny/detection test.</w:t>
            </w:r>
          </w:p>
        </w:tc>
        <w:tc>
          <w:tcPr>
            <w:tcW w:w="13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82" w:name="__RefHeading___Toc4679_3414231214"/>
      <w:bookmarkStart w:id="83" w:name="_Toc235338150"/>
      <w:bookmarkEnd w:id="82"/>
      <w:r>
        <w:rPr>
          <w:rFonts w:eastAsia="Calibri" w:cs="Calibri" w:cstheme="majorHAnsi"/>
          <w:sz w:val="20"/>
        </w:rPr>
        <w:t>IA - Identification and Authentication</w:t>
      </w:r>
      <w:bookmarkEnd w:id="83"/>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794"/>
        <w:gridCol w:w="1258"/>
        <w:gridCol w:w="5037"/>
        <w:gridCol w:w="3165"/>
        <w:gridCol w:w="125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27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25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503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316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56"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IA.L2-3.5.1</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Identify system users, processes acting on behalf of users, and devices.</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IA-2, IA-3, IA-5</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Entra identifies users and processes; Intune identifies VTC_CUI_WS1 and authorized devices; service identities have named owners.</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user/service-principal export; device inventory and Entra/Intune device records; named-account register; unique user/process/device identification review.</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IA.L2-3.5.2</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Authenticate (or verify) the identities of users, processes, or devices, as a prerequisite to allowing access to organizational systems.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IA-2, IA-3, IA-5</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Entra authentication, network MFA, Windows sign-in, TPM-backed local privileged credentials, and compliant-device checks authenticate users and VTC_CUI_WS1 before access.</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authentication and CA settings; Windows Hello/FIDO2/TPM evidence; device-compliance identity; approved user/device sign-in test and invalid identity deny test.</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IA.L2-3.5.3</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Use multifactor authentication for local and network access to privileged accounts and for network access to non-privileged accounts.[24] [25].</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IA-2</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Conditional Access requires MFA for network access by privileged and non-privileged users. Every account authorized for local privileged access to VTC_CUI_WS1 uses TPM-backed Windows Hello for Business, an approved FIDO2 security key, or an approved smart-card credential. Password-only local privileged interactive logon is prohibited. James Marshall uses the separate jmarshall.admin account for approved User Administrator duties, while his standard account remains non-privileged.</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CA/MFA policy and sign-in details; Windows Hello/FIDO2 configuration; TPM status; local Administrators list; separate admin identities; local/network MFA demonstrations.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IA.L2-3.5.4</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replay-resistant authentication mechanisms for network access to privileged and non-privileged accounts.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IA-2</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Modern authentication, TLS, token protections, Windows Hello for Business/FIDO2, and approved MFA methods provide replay resistance; legacy authentication and password-only remote authentication are blocked.</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Modern-authentication and legacy-auth block settings; TLS/token evidence; Windows Hello/FIDO2 configuration; replay-resistant sign-in test; legacy/password-only deny test.</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IA.L2-3.5.5</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Prevent reuse of identifiers for a defined period.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IA-4</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Identifiers are unique and are not reassigned to another person; disabled/deleted identities remain attributable.</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Identifier lifecycle procedure; deleted/disabled account records; Entra audit logs; defined nonreuse period; attempt to recreate a recently retired identifier.</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IA.L2-3.5.6</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Disable identifiers after a defined period of inactivity.</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IA-4</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Inactive accounts are reviewed quarterly and disabled when no longer justified; exceptions have owners and monitoring.</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Inactivity threshold and account-review procedure; last-sign-in export; inactive-account disablement records; quarterly review; inactive-account sign-in deny test.</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IA.L2-3.5.7</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Enforce a minimum password complexity and change of characters when new passwords are created.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IA-5</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 enforces approved password length, banned-password, and authentication requirements; permanent passwords are not shared.</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password-protection/complexity settings; banned-password list; temporary-password workflow; weak/new password creation tests.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IA.L2-3.5.8</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Prohibit password reuse for a specified number of generations.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IA-5(1)</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Password history and Entra password protections prevent reuse according to the approved identity standard.</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Password history/reuse settings for applicable accounts; policy export; password-change record; attempt to reuse a prohibited recent password.</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IA.L2-3.5.9</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Allow temporary password use for system logons with an immediate change to a permanent password.</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IA-5(1)</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Temporary passwords are issued only after identity verification and must be changed immediately at first use.</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Temporary Access Pass/password procedure; issued credential record; first-logon change requirement; temporary credential expiration and immediate-change tests.</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IA.L2-3.5.10</w:t>
            </w:r>
          </w:p>
        </w:tc>
        <w:tc>
          <w:tcPr>
            <w:tcW w:w="27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Store and transmit only cryptographically-protected passwords.</w:t>
            </w:r>
          </w:p>
        </w:tc>
        <w:tc>
          <w:tcPr>
            <w:tcW w:w="125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IA-5(1)</w:t>
            </w:r>
          </w:p>
        </w:tc>
        <w:tc>
          <w:tcPr>
            <w:tcW w:w="50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Passwords are protected by Entra/Windows cryptographic mechanisms and TLS; clear-text storage or transmission is prohibited.</w:t>
            </w:r>
          </w:p>
        </w:tc>
        <w:tc>
          <w:tcPr>
            <w:tcW w:w="316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Entra/Microsoft password-storage responsibility evidence; TLS settings; local credential protections; no plaintext password storage review; protocol capture/inspection.</w:t>
            </w:r>
          </w:p>
        </w:tc>
        <w:tc>
          <w:tcPr>
            <w:tcW w:w="125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IA.L2-3.5.11</w:t>
            </w:r>
          </w:p>
        </w:tc>
        <w:tc>
          <w:tcPr>
            <w:tcW w:w="27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Obscure feedback of authentication information</w:t>
            </w:r>
          </w:p>
        </w:tc>
        <w:tc>
          <w:tcPr>
            <w:tcW w:w="125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IA-6</w:t>
            </w:r>
          </w:p>
        </w:tc>
        <w:tc>
          <w:tcPr>
            <w:tcW w:w="50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Authentication interfaces mask secrets and do not reveal password or token details.</w:t>
            </w:r>
          </w:p>
        </w:tc>
        <w:tc>
          <w:tcPr>
            <w:tcW w:w="316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Windows/Entra sign-in-screen configuration; masked password/PIN display captures; shoulder-surfing protection review; authentication-feedback demonstration.</w:t>
            </w:r>
          </w:p>
        </w:tc>
        <w:tc>
          <w:tcPr>
            <w:tcW w:w="125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84" w:name="__RefHeading___Toc4681_3414231214"/>
      <w:bookmarkStart w:id="85" w:name="_Toc235338151"/>
      <w:bookmarkEnd w:id="84"/>
      <w:r>
        <w:rPr>
          <w:rFonts w:eastAsia="Calibri" w:cs="Calibri" w:cstheme="majorHAnsi"/>
          <w:sz w:val="20"/>
        </w:rPr>
        <w:t>IR - Incident Response</w:t>
      </w:r>
      <w:bookmarkEnd w:id="8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15"/>
        <w:gridCol w:w="5208"/>
        <w:gridCol w:w="1132"/>
        <w:gridCol w:w="4144"/>
        <w:gridCol w:w="2246"/>
        <w:gridCol w:w="1170"/>
      </w:tblGrid>
      <w:tr>
        <w:trPr>
          <w:tblHeader w:val="true"/>
          <w:cantSplit w:val="true"/>
        </w:trPr>
        <w:tc>
          <w:tcPr>
            <w:tcW w:w="91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Requirement</w:t>
            </w:r>
          </w:p>
        </w:tc>
        <w:tc>
          <w:tcPr>
            <w:tcW w:w="520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NIST SP 800-171 Requirement</w:t>
            </w:r>
          </w:p>
        </w:tc>
        <w:tc>
          <w:tcPr>
            <w:tcW w:w="113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NIST SP 800-53 Source Control(s)</w:t>
            </w:r>
          </w:p>
        </w:tc>
        <w:tc>
          <w:tcPr>
            <w:tcW w:w="414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VTC Implementation Narrative</w:t>
            </w:r>
          </w:p>
        </w:tc>
        <w:tc>
          <w:tcPr>
            <w:tcW w:w="2246"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Evidence / Test Expectations</w:t>
            </w:r>
          </w:p>
        </w:tc>
        <w:tc>
          <w:tcPr>
            <w:tcW w:w="1170"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rPr>
            </w:pPr>
            <w:r>
              <w:rPr>
                <w:rFonts w:eastAsia="Calibri" w:cs="Calibri" w:cstheme="majorHAnsi"/>
                <w:b/>
                <w:color w:val="FFFFFF"/>
                <w:sz w:val="20"/>
              </w:rPr>
              <w:t>DFARS Compliance</w:t>
              <w:br/>
              <w:t>Status (VTC)</w:t>
            </w:r>
          </w:p>
        </w:tc>
      </w:tr>
      <w:tr>
        <w:trPr>
          <w:cantSplit w:val="true"/>
        </w:trPr>
        <w:tc>
          <w:tcPr>
            <w:tcW w:w="91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IR.L2-3.6.1</w:t>
            </w:r>
          </w:p>
        </w:tc>
        <w:tc>
          <w:tcPr>
            <w:tcW w:w="52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Establish an operational incident-handling capability for organizational systems that includes preparation, detection, analysis, containment, recovery, and user response activities.</w:t>
            </w:r>
          </w:p>
        </w:tc>
        <w:tc>
          <w:tcPr>
            <w:tcW w:w="113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IR-2, IR-4, IR-5, IR-6, IR-7</w:t>
            </w:r>
          </w:p>
        </w:tc>
        <w:tc>
          <w:tcPr>
            <w:tcW w:w="41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The approved incident plan covers preparation, detection, analysis, containment, eradication, recovery, reporting, and user response.</w:t>
            </w:r>
          </w:p>
        </w:tc>
        <w:tc>
          <w:tcPr>
            <w:tcW w:w="22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incident-response plan and procedures; contact/escalation list; incident log; evidence-preservation checklist; scenario walkthrough covering preparation through recovery.</w:t>
            </w:r>
          </w:p>
        </w:tc>
        <w:tc>
          <w:tcPr>
            <w:tcW w:w="117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91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IR.L2-3.6.2</w:t>
            </w:r>
          </w:p>
        </w:tc>
        <w:tc>
          <w:tcPr>
            <w:tcW w:w="52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Track, document, and report incidents to designated officials and/or authorities both internal and external to the organization.</w:t>
            </w:r>
          </w:p>
        </w:tc>
        <w:tc>
          <w:tcPr>
            <w:tcW w:w="113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IR-2, IR-4, IR-5, IR-6, IR-7</w:t>
            </w:r>
          </w:p>
        </w:tc>
        <w:tc>
          <w:tcPr>
            <w:tcW w:w="41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Incidents are recorded in a case log and reported to designated VTC, customer, insurer, legal, and DoD/DIBNet contacts when required.</w:t>
            </w:r>
          </w:p>
        </w:tc>
        <w:tc>
          <w:tcPr>
            <w:tcW w:w="22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Incident reporting procedure; internal/external notification matrix; DIBNet/customer decision record; incident ticket/log; reporting-timeline tabletop demonstration.</w:t>
            </w:r>
          </w:p>
        </w:tc>
        <w:tc>
          <w:tcPr>
            <w:tcW w:w="1170"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91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IR.L2-3.6.3</w:t>
            </w:r>
          </w:p>
        </w:tc>
        <w:tc>
          <w:tcPr>
            <w:tcW w:w="52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Test the organizational incident response capability.</w:t>
            </w:r>
          </w:p>
        </w:tc>
        <w:tc>
          <w:tcPr>
            <w:tcW w:w="113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IR-3</w:t>
            </w:r>
          </w:p>
        </w:tc>
        <w:tc>
          <w:tcPr>
            <w:tcW w:w="41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 conducts and documents an incident-response tabletop or functional exercise at least annually and after major changes.</w:t>
            </w:r>
          </w:p>
        </w:tc>
        <w:tc>
          <w:tcPr>
            <w:tcW w:w="22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VTC-IMS-SSP-920 tabletop package; scenario, attendance, injects, observations, after-action report, corrective actions, approvals; annual exercise evidence.</w:t>
            </w:r>
          </w:p>
        </w:tc>
        <w:tc>
          <w:tcPr>
            <w:tcW w:w="1170"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86" w:name="__RefHeading___Toc4683_3414231214"/>
      <w:bookmarkStart w:id="87" w:name="_Toc235338152"/>
      <w:bookmarkEnd w:id="86"/>
      <w:r>
        <w:rPr>
          <w:rFonts w:eastAsia="Calibri" w:cs="Calibri" w:cstheme="majorHAnsi"/>
          <w:sz w:val="20"/>
        </w:rPr>
        <w:t>MA - Maintenance</w:t>
      </w:r>
      <w:bookmarkEnd w:id="8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898"/>
        <w:gridCol w:w="1249"/>
        <w:gridCol w:w="4892"/>
        <w:gridCol w:w="3218"/>
        <w:gridCol w:w="1253"/>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289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24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489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321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53"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MA.L2-3.7.1</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Perform maintenance on organizational systems.[26].</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MA-2, MA-3</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Authorized VTC personnel perform and document local endpoint maintenance and approved nonlocal maintenance through Microsoft GCC High administration services.</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Maintenance procedure and log; approved local/cloud maintenance record; administrator audit events; post-maintenance validation; interview with administrator.</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MA.L2-3.7.2</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controls on the tools, techniques, mechanisms, and personnel used to conduct system maintenance.</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MA-2, MA-3</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Only approved maintenance tools and named administrator accounts may perform local or Microsoft cloud-based maintenance; tool use and privileged actions are logged and reviewed.</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maintenance-tool inventory; named administrator roles; software-control settings; privileged tool-use events; unauthorized tool/personnel deny test.</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MA.L2-3.7.3</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Ensure equipment removed for off-site maintenance is sanitized of any CUI.</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MA-2</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is removed, sanitized, or strongly protected before equipment leaves VTC control for maintenance; return inspection is documented.</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Off-site repair/sanitization procedure; chain-of-custody and NIST SP 800-88 record; BitLocker/key handling; simulated removal authorization and verification.</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MA.L2-3.7.4</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Check media containing diagnostic and test programs for malicious code before the media are used in organizational systems.</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MA-3</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Portable diagnostic media is prohibited; any diagnostic software is obtained from a trusted source and scanned before use.</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Diagnostic/test media procedure; approved tool source and hash/signature; Defender scan result; media inspection log; malicious test-file detection demonstration.</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MA.L2-3.7.5</w:t>
            </w:r>
          </w:p>
        </w:tc>
        <w:tc>
          <w:tcPr>
            <w:tcW w:w="289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Require multifactor authentication to establish nonlocal maintenance sessions via external network connections and terminate such connections when nonlocal maintenance is complete.</w:t>
            </w:r>
          </w:p>
        </w:tc>
        <w:tc>
          <w:tcPr>
            <w:tcW w:w="124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MA-4</w:t>
            </w:r>
          </w:p>
        </w:tc>
        <w:tc>
          <w:tcPr>
            <w:tcW w:w="489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Nonlocal maintenance through Entra, Intune, Defender, Purview, Exchange, SharePoint, and other approved Microsoft administrative services requires a separately assigned administrator identity, MFA, and compliant VTC_CUI_WS1. James Marshall uses jmarshall.admin only for approved User Administrator maintenance. Sessions are closed or revoked when work is complete and related privileged events are reviewed. RDP, Quick Assist/Remote Help, unattended support, and third-party remote-control paths are blocked.</w:t>
            </w:r>
          </w:p>
        </w:tc>
        <w:tc>
          <w:tcPr>
            <w:tcW w:w="321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Separate admin identities including jmarshall.admin; MFA/CA and compliant-device evidence; approved maintenance session; termination/revocation record; remote-control deny test.</w:t>
            </w:r>
          </w:p>
        </w:tc>
        <w:tc>
          <w:tcPr>
            <w:tcW w:w="125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MA.L2-3.7.6</w:t>
            </w:r>
          </w:p>
        </w:tc>
        <w:tc>
          <w:tcPr>
            <w:tcW w:w="289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Supervise the maintenance activities of maintenance personnel without required access authorization.</w:t>
            </w:r>
          </w:p>
        </w:tc>
        <w:tc>
          <w:tcPr>
            <w:tcW w:w="124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MA-5</w:t>
            </w:r>
          </w:p>
        </w:tc>
        <w:tc>
          <w:tcPr>
            <w:tcW w:w="489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Unauthorized maintenance personnel are not permitted unescorted access; any external technician is supervised and receives only minimum necessary access.</w:t>
            </w:r>
          </w:p>
        </w:tc>
        <w:tc>
          <w:tcPr>
            <w:tcW w:w="321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Maintenance personnel authorization list; escort/supervision procedure; visitor/maintenance log; temporary access restrictions; supervised maintenance scenario.</w:t>
            </w:r>
          </w:p>
        </w:tc>
        <w:tc>
          <w:tcPr>
            <w:tcW w:w="125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88" w:name="__RefHeading___Toc4685_3414231214"/>
      <w:bookmarkStart w:id="89" w:name="_Toc235338153"/>
      <w:bookmarkEnd w:id="88"/>
      <w:r>
        <w:rPr>
          <w:rFonts w:eastAsia="Calibri" w:cs="Calibri" w:cstheme="majorHAnsi"/>
          <w:sz w:val="20"/>
        </w:rPr>
        <w:t>MP - Media Protection</w:t>
      </w:r>
      <w:bookmarkEnd w:id="8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323"/>
        <w:gridCol w:w="1314"/>
        <w:gridCol w:w="3977"/>
        <w:gridCol w:w="3621"/>
        <w:gridCol w:w="1275"/>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3323"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31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97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362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75"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MP.L2-3.8.1</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(i.e., physically control and securely store) system media containing CUI, both paper and digital.</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media is protected in the designated GCC High Exchange mailbox, SharePoint CUI site, and on BitLocker-protected VTC_CUI_WS1. Physical and removable media are prohibited or minimized.</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Exchange/SharePoint storage permissions; VTC_CUI_WS1 BitLocker evidence; physical storage controls; media inventory; unauthorized physical/digital access test.</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MP.L2-3.8.2</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access to CUI on system media to authorized users</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Media access is limited through Entra, Exchange/SharePoint permissions, Conditional Access, the sole compliant device requirement, locked storage, and quarterly review.</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Media access matrix; Exchange/SharePoint permissions; CA compliant-device restriction; locked storage evidence; quarterly access review and denied-user test.</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MP.L2-3.8.3</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Sanitize or destroy system media containing CUI before disposal or release for reuse.</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MP-2, MP-4, MP-6</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Media is sanitized or destroyed before disposal/reuse using NIST SP 800-88 methods and documented certificates/logs.</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Media sanitization/destruction procedure; NIST SP 800-88 method; disposal certificate/log; BitLocker key destruction where applicable; release-for-reuse validation.</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MP.L2-3.8.4</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Mark media with necessary CUI markings and distribution limitations.[27]</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MP-3</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files, documents, and approved media are marked according to source, contract, CUI Registry, and dissemination requirements.</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CUI marking procedure; approved header/footer/banner examples; Exchange/SharePoint document sample; distribution-limitation review; marking demonstration.</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MP.L2-3.8.5</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access to media containing CUI and maintain accountability for media during transport outside of controlled areas.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MP-5</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VTC does not authorize physical transport of CUI media outside controlled areas. The approved CUI workflow uses GCC High Exchange/SharePoint and the dedicated endpoint; no transportable CUI media is inventoried.</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policy prohibiting physical CUI media transport; media inventory; no-transport workflow/data-flow diagram; assessor confirmation.</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MP.L2-3.8.6</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Implement cryptographic mechanisms to protect the confidentiality of CUI stored on digital media during transport unless otherwise protected by alternative physical safeguards.</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MP-5</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no digital CUI media is authorized for transport. Removable and portable storage are prohibited and blocked, so no transported digital CUI media exists for this requirement.</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portable-media transport prohibition; removable-media/device-control settings; media inventory; USB transport deny test; assessor confirmation.</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MP.L2-3.8.7</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the use of removable media on system components.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MP-7</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Removable media is prohibited and technically restricted/monitored on the managed endpoint; exceptions require formal authorization.</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Removable-media policy; Intune/Defender device-control configuration; removable-storage events; authorized-exception register; USB insertion/read/write deny tests.</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MP.L2-3.8.8</w:t>
            </w:r>
          </w:p>
        </w:tc>
        <w:tc>
          <w:tcPr>
            <w:tcW w:w="332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Prohibit the use of portable storage devices when such devices have no identifiable owner.</w:t>
            </w:r>
          </w:p>
        </w:tc>
        <w:tc>
          <w:tcPr>
            <w:tcW w:w="131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MP-7</w:t>
            </w:r>
          </w:p>
        </w:tc>
        <w:tc>
          <w:tcPr>
            <w:tcW w:w="397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Portable storage without an identifiable owner is prohibited and never connected; any authorized device is inventoried and assigned.</w:t>
            </w:r>
          </w:p>
        </w:tc>
        <w:tc>
          <w:tcPr>
            <w:tcW w:w="362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Portable-storage ownership/inventory policy; device-control settings; no authorized portable media list; unidentified USB insertion deny and logging test.</w:t>
            </w:r>
          </w:p>
        </w:tc>
        <w:tc>
          <w:tcPr>
            <w:tcW w:w="127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MP.L2-3.8.9</w:t>
            </w:r>
          </w:p>
        </w:tc>
        <w:tc>
          <w:tcPr>
            <w:tcW w:w="332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the confidentiality of backup CUI at storage locations.</w:t>
            </w:r>
          </w:p>
        </w:tc>
        <w:tc>
          <w:tcPr>
            <w:tcW w:w="131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CP-9</w:t>
            </w:r>
          </w:p>
        </w:tc>
        <w:tc>
          <w:tcPr>
            <w:tcW w:w="397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No standalone contractor-managed CUI backup export is authorized. Any future backup must be encrypted, access-controlled, in scope, and supported by an approved provider responsibility matrix.</w:t>
            </w:r>
          </w:p>
        </w:tc>
        <w:tc>
          <w:tcPr>
            <w:tcW w:w="362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Backup/data-resiliency procedure; Microsoft provider responsibility evidence; restricted backup/archive permissions; encryption and restore/access test; backup inventory.</w:t>
            </w:r>
          </w:p>
        </w:tc>
        <w:tc>
          <w:tcPr>
            <w:tcW w:w="127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90" w:name="__RefHeading___Toc4687_3414231214"/>
      <w:bookmarkStart w:id="91" w:name="_Toc235338154"/>
      <w:bookmarkEnd w:id="90"/>
      <w:r>
        <w:rPr>
          <w:rFonts w:eastAsia="Calibri" w:cs="Calibri" w:cstheme="majorHAnsi"/>
          <w:sz w:val="20"/>
        </w:rPr>
        <w:t>PS - Personnel Security</w:t>
      </w:r>
      <w:bookmarkEnd w:id="9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738"/>
        <w:gridCol w:w="1508"/>
        <w:gridCol w:w="4162"/>
        <w:gridCol w:w="2766"/>
        <w:gridCol w:w="133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373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50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416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766"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336"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PS.L2-3.9.1</w:t>
            </w:r>
          </w:p>
        </w:tc>
        <w:tc>
          <w:tcPr>
            <w:tcW w:w="37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Screen individuals prior to authorizing access to organizational systems containing CUI.</w:t>
            </w:r>
          </w:p>
        </w:tc>
        <w:tc>
          <w:tcPr>
            <w:tcW w:w="150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PS-3, PS-4, PS-5</w:t>
            </w:r>
          </w:p>
        </w:tc>
        <w:tc>
          <w:tcPr>
            <w:tcW w:w="416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Management screens and approves individuals before CUI access; restricted HR evidence or an attestation proves eligibility.</w:t>
            </w:r>
          </w:p>
        </w:tc>
        <w:tc>
          <w:tcPr>
            <w:tcW w:w="276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VTC-IMS-SSP-917 screening/training eligibility matrix; restricted background-check completion evidence; access approval; sample pre-access verification.</w:t>
            </w:r>
          </w:p>
        </w:tc>
        <w:tc>
          <w:tcPr>
            <w:tcW w:w="133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PS.L2-3.9.2</w:t>
            </w:r>
          </w:p>
        </w:tc>
        <w:tc>
          <w:tcPr>
            <w:tcW w:w="37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Ensure that organizational systems containing CUI are protected during and after personnel actions such as terminations and transfers</w:t>
            </w:r>
          </w:p>
        </w:tc>
        <w:tc>
          <w:tcPr>
            <w:tcW w:w="150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PS-3, PS-4, PS-5</w:t>
            </w:r>
          </w:p>
        </w:tc>
        <w:tc>
          <w:tcPr>
            <w:tcW w:w="416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Personnel changes trigger immediate account/session/role removal, key/device recovery, record transfer, and post-action verification.</w:t>
            </w:r>
          </w:p>
        </w:tc>
        <w:tc>
          <w:tcPr>
            <w:tcW w:w="276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Personnel action/termination checklist; HR notification; account disablement and group removal logs; device/key return; termination/transfer access revocation test.</w:t>
            </w:r>
          </w:p>
        </w:tc>
        <w:tc>
          <w:tcPr>
            <w:tcW w:w="133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sz w:val="20"/>
          <w:szCs w:val="20"/>
        </w:rPr>
      </w:r>
    </w:p>
    <w:p>
      <w:pPr>
        <w:pStyle w:val="Heading2"/>
        <w:rPr>
          <w:rFonts w:cs="Calibri" w:cstheme="majorHAnsi"/>
        </w:rPr>
      </w:pPr>
      <w:bookmarkStart w:id="92" w:name="__RefHeading___Toc4689_3414231214"/>
      <w:bookmarkStart w:id="93" w:name="_Toc235338155"/>
      <w:bookmarkEnd w:id="92"/>
      <w:r>
        <w:rPr>
          <w:rFonts w:eastAsia="Calibri" w:cs="Calibri" w:cstheme="majorHAnsi"/>
          <w:sz w:val="20"/>
        </w:rPr>
        <w:t>PE - Physical Protection</w:t>
      </w:r>
      <w:bookmarkEnd w:id="93"/>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3871"/>
        <w:gridCol w:w="1557"/>
        <w:gridCol w:w="4494"/>
        <w:gridCol w:w="2237"/>
        <w:gridCol w:w="1351"/>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387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55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44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23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351"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PE.L2-3.10.1</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Limit physical access to organizational systems, equipment, and the respective operating environments to authorized individuals.</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PE-2, PE-4, PE-5, PE-6</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The controlled office, VTC_CUI_WS1, and UDM-Pro/UniFi equipment are limited to authorized physical access.</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Authorized physical-access list; office/facility diagram; lock/key records; VTC_CUI_WS1 location; unauthorized entry prevention and workstation-lock test.</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PE.L2-3.10.2</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and monitor the physical facility and support infrastructure for organizational systems.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PE-2, PE-4, PE-5, PE-6</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Locks, controlled workspace, equipment placement, visitor procedures, and annual inspection protect the facility and supporting infrastructure.</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Facility protection checklist; door/lock and network-equipment safeguards; periodic physical review; after-hours inspection and tamper-observation record.</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PE.L2-3.10.3</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Escort visitors and monitor visitor activity.</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PE-3</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Visitors are approved, logged, escorted, monitored, and denied access to CUI and systems.</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Visitor policy/log; escort assignment; visitor badge/identification record; escort interview; controlled-area visitor scenario.</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PE.L2-3.10.4</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Maintain audit logs of physical access.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PE-3</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Visitor and physical access records are retained and reviewed; building/access records are used when available.</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Physical-access/visitor logs; key issuance records; review cadence and retention; sample entry reconciliation with authorized-access list.</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PE.L2-3.10.5</w:t>
            </w:r>
          </w:p>
        </w:tc>
        <w:tc>
          <w:tcPr>
            <w:tcW w:w="387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and manage physical access devices.</w:t>
            </w:r>
          </w:p>
        </w:tc>
        <w:tc>
          <w:tcPr>
            <w:tcW w:w="15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PE-3</w:t>
            </w:r>
          </w:p>
        </w:tc>
        <w:tc>
          <w:tcPr>
            <w:tcW w:w="44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Keys and access devices are inventoried, assigned, recovered, reconciled, and replaced/mitigated when lost.</w:t>
            </w:r>
          </w:p>
        </w:tc>
        <w:tc>
          <w:tcPr>
            <w:tcW w:w="2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Key/access-device inventory; issue/return records; lost-key response; periodic inventory; unauthorized or terminated holder reconciliation test.</w:t>
            </w:r>
          </w:p>
        </w:tc>
        <w:tc>
          <w:tcPr>
            <w:tcW w:w="135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PE.L2-3.10.6</w:t>
            </w:r>
          </w:p>
        </w:tc>
        <w:tc>
          <w:tcPr>
            <w:tcW w:w="387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Enforce safeguarding measures for CUI at alternate work sites.</w:t>
            </w:r>
          </w:p>
        </w:tc>
        <w:tc>
          <w:tcPr>
            <w:tcW w:w="15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PE-17</w:t>
            </w:r>
          </w:p>
        </w:tc>
        <w:tc>
          <w:tcPr>
            <w:tcW w:w="44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VTC authorizes no alternate work site for CUI. CUI access is limited to VTC_CUI_WS1 at the controlled office through device, identity, and network restrictions.</w:t>
            </w:r>
          </w:p>
        </w:tc>
        <w:tc>
          <w:tcPr>
            <w:tcW w:w="2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policy prohibiting CUI at alternate work sites; scope/data-flow diagram; CA/device/network restrictions; off-site access deny test; assessor confirmation.</w:t>
            </w:r>
          </w:p>
        </w:tc>
        <w:tc>
          <w:tcPr>
            <w:tcW w:w="135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94" w:name="__RefHeading___Toc4691_3414231214"/>
      <w:bookmarkStart w:id="95" w:name="_Toc235338156"/>
      <w:bookmarkEnd w:id="94"/>
      <w:r>
        <w:rPr>
          <w:rFonts w:eastAsia="Calibri" w:cs="Calibri" w:cstheme="majorHAnsi"/>
          <w:sz w:val="20"/>
        </w:rPr>
        <w:t>RA - Risk Assessment</w:t>
      </w:r>
      <w:bookmarkEnd w:id="95"/>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4969"/>
        <w:gridCol w:w="1381"/>
        <w:gridCol w:w="3422"/>
        <w:gridCol w:w="2442"/>
        <w:gridCol w:w="1296"/>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496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38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42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44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96"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RA.L2-3.11.1</w:t>
            </w:r>
          </w:p>
        </w:tc>
        <w:tc>
          <w:tcPr>
            <w:tcW w:w="49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tc>
        <w:tc>
          <w:tcPr>
            <w:tcW w:w="138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RA-3</w:t>
            </w:r>
          </w:p>
        </w:tc>
        <w:tc>
          <w:tcPr>
            <w:tcW w:w="342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 performs an annual and change-driven risk assessment covering threats, vulnerabilities, likelihood, impact, assets, ESPs, and treatment.</w:t>
            </w:r>
          </w:p>
        </w:tc>
        <w:tc>
          <w:tcPr>
            <w:tcW w:w="244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VTC-IMS-SSP-919 annual risk assessment; risk register; asset/ESP/threat/vulnerability analysis; management approval; change-driven reassessment record.</w:t>
            </w:r>
          </w:p>
        </w:tc>
        <w:tc>
          <w:tcPr>
            <w:tcW w:w="12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RA.L2-3.11.2</w:t>
            </w:r>
          </w:p>
        </w:tc>
        <w:tc>
          <w:tcPr>
            <w:tcW w:w="496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Scan for vulnerabilities in organizational systems and applications periodically and when new vulnerabilities affecting those systems and applications are identified.</w:t>
            </w:r>
          </w:p>
        </w:tc>
        <w:tc>
          <w:tcPr>
            <w:tcW w:w="138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RA-5</w:t>
            </w:r>
          </w:p>
        </w:tc>
        <w:tc>
          <w:tcPr>
            <w:tcW w:w="342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Defender, Intune, vendor, and CISA data support continuous and monthly vulnerability review; findings are prioritized and tracked.</w:t>
            </w:r>
          </w:p>
        </w:tc>
        <w:tc>
          <w:tcPr>
            <w:tcW w:w="244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Defender vulnerability/exposure reports; Intune/Windows update status; CISA/vendor advisory review; scan schedule; new-vulnerability-triggered scan demonstration.</w:t>
            </w:r>
          </w:p>
        </w:tc>
        <w:tc>
          <w:tcPr>
            <w:tcW w:w="12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RA.L2-3.11.3</w:t>
            </w:r>
          </w:p>
        </w:tc>
        <w:tc>
          <w:tcPr>
            <w:tcW w:w="496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Remediate vulnerabilities in accordance with risk assessments.</w:t>
            </w:r>
          </w:p>
        </w:tc>
        <w:tc>
          <w:tcPr>
            <w:tcW w:w="138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RA-5</w:t>
            </w:r>
          </w:p>
        </w:tc>
        <w:tc>
          <w:tcPr>
            <w:tcW w:w="342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Vulnerabilities are remediated under risk-based timelines or documented with time-bound approved risk treatment and compensating controls.</w:t>
            </w:r>
          </w:p>
        </w:tc>
        <w:tc>
          <w:tcPr>
            <w:tcW w:w="244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Risk-ranked remediation tickets/POA&amp;M; owner and due date; patch/configuration evidence; exception acceptance; rescanning/retest and closure approval.</w:t>
            </w:r>
          </w:p>
        </w:tc>
        <w:tc>
          <w:tcPr>
            <w:tcW w:w="12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sz w:val="20"/>
          <w:szCs w:val="20"/>
        </w:rPr>
      </w:r>
    </w:p>
    <w:p>
      <w:pPr>
        <w:pStyle w:val="Heading2"/>
        <w:rPr>
          <w:rFonts w:cs="Calibri" w:cstheme="majorHAnsi"/>
          <w:sz w:val="20"/>
          <w:szCs w:val="20"/>
        </w:rPr>
      </w:pPr>
      <w:bookmarkStart w:id="96" w:name="__RefHeading___Toc4693_3414231214"/>
      <w:bookmarkStart w:id="97" w:name="_Toc235338157"/>
      <w:bookmarkEnd w:id="96"/>
      <w:r>
        <w:rPr>
          <w:rFonts w:eastAsia="Calibri" w:cs="Calibri" w:cstheme="majorHAnsi"/>
          <w:sz w:val="20"/>
          <w:szCs w:val="20"/>
        </w:rPr>
        <w:t>CA - Security Assessment</w:t>
      </w:r>
      <w:bookmarkEnd w:id="97"/>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5009"/>
        <w:gridCol w:w="1412"/>
        <w:gridCol w:w="3588"/>
        <w:gridCol w:w="2196"/>
        <w:gridCol w:w="1305"/>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500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412"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58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2196"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305"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CA.L2-3.12.1</w:t>
            </w:r>
          </w:p>
        </w:tc>
        <w:tc>
          <w:tcPr>
            <w:tcW w:w="50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Periodically assess the security controls in organizational systems to determine if the controls are effective in their application.</w:t>
            </w:r>
          </w:p>
        </w:tc>
        <w:tc>
          <w:tcPr>
            <w:tcW w:w="141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All 110 requirements are assessed at objective level using examine, interview, and test evidence at least annually and after significant change.</w:t>
            </w:r>
          </w:p>
        </w:tc>
        <w:tc>
          <w:tcPr>
            <w:tcW w:w="21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Objective-level self-assessment worksheet; VTC-IMS-SSP-991; evidence samples; independent compliance-review record; examine/interview/test results and findings.</w:t>
            </w:r>
          </w:p>
        </w:tc>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CA.L2-3.12.2</w:t>
            </w:r>
          </w:p>
        </w:tc>
        <w:tc>
          <w:tcPr>
            <w:tcW w:w="50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Develop and implement plans of action designed to correct deficiencies and reduce or eliminate vulnerabilities in organizational systems.</w:t>
            </w:r>
          </w:p>
        </w:tc>
        <w:tc>
          <w:tcPr>
            <w:tcW w:w="141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Deficiencies are recorded in the risk register and POA&amp;M with owner, milestones, target dates, evidence, and eligibility review.</w:t>
            </w:r>
          </w:p>
        </w:tc>
        <w:tc>
          <w:tcPr>
            <w:tcW w:w="21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VTC-IMS-SSP-918 and POA&amp;M tracker; objective/deficiency, owner, milestones, target date, eligibility, risk, closure evidence; overdue and closure review.</w:t>
            </w:r>
          </w:p>
        </w:tc>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CA.L2-3.12.3</w:t>
            </w:r>
          </w:p>
        </w:tc>
        <w:tc>
          <w:tcPr>
            <w:tcW w:w="500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Monitor security controls on an ongoing basis to ensure the continued effectiveness of the controls.</w:t>
            </w:r>
          </w:p>
        </w:tc>
        <w:tc>
          <w:tcPr>
            <w:tcW w:w="1412"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Defender, Entra, Intune, Purview, Windows, UDM-Pro, and governance trackers provide continuous monitoring with defined cadence.</w:t>
            </w:r>
          </w:p>
        </w:tc>
        <w:tc>
          <w:tcPr>
            <w:tcW w:w="219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Continuous-monitoring plan/tracker; control cadence and owners; completed review records; exception/escalation evidence; sample monitoring-cycle validation.</w:t>
            </w:r>
          </w:p>
        </w:tc>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CA.L2-3.12.4</w:t>
            </w:r>
          </w:p>
        </w:tc>
        <w:tc>
          <w:tcPr>
            <w:tcW w:w="500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Develop, document, and periodically update system security plans that describe system boundaries, system environments of operation, how security requirements are implemented, and the relationships with or connections to other systems.[28]</w:t>
            </w:r>
          </w:p>
        </w:tc>
        <w:tc>
          <w:tcPr>
            <w:tcW w:w="1412"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CA-2, CA-5, CA-7, PL-2</w:t>
            </w:r>
          </w:p>
        </w:tc>
        <w:tc>
          <w:tcPr>
            <w:tcW w:w="358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This SSP defines the environment, boundary, assets, data flows, controls, roles, interconnections, and maintenance process and is kept current.</w:t>
            </w:r>
          </w:p>
        </w:tc>
        <w:tc>
          <w:tcPr>
            <w:tcW w:w="219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Approved VTC-IMS-SSP-993; scope/asset inventory; network and CUI-flow diagrams; CRM/SRM; annual/material-change review and approval record.</w:t>
            </w:r>
          </w:p>
        </w:tc>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rPr>
      </w:pPr>
      <w:r>
        <w:rPr>
          <w:rFonts w:cs="Calibri" w:cstheme="majorHAnsi"/>
        </w:rPr>
      </w:r>
    </w:p>
    <w:p>
      <w:pPr>
        <w:pStyle w:val="Heading2"/>
        <w:rPr>
          <w:rFonts w:cs="Calibri" w:cstheme="majorHAnsi"/>
        </w:rPr>
      </w:pPr>
      <w:bookmarkStart w:id="98" w:name="__RefHeading___Toc4695_3414231214"/>
      <w:bookmarkStart w:id="99" w:name="_Toc235338158"/>
      <w:bookmarkEnd w:id="98"/>
      <w:r>
        <w:rPr>
          <w:rFonts w:eastAsia="Calibri" w:cs="Calibri" w:cstheme="majorHAnsi"/>
          <w:sz w:val="20"/>
        </w:rPr>
        <w:t>SC - System and Communications Protection</w:t>
      </w:r>
      <w:bookmarkEnd w:id="99"/>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828"/>
        <w:gridCol w:w="1194"/>
        <w:gridCol w:w="4439"/>
        <w:gridCol w:w="3811"/>
        <w:gridCol w:w="1238"/>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2828"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1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4439"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3811"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38"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Monitor, control, and protect communications (i.e., information transmitted or received by organizational systems) at the external boundaries and key internal boundaries of organizational systems.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SC-7, SA-8</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The UDM-Pro/UniFi gateway controls the dedicated CUI VLAN boundary; inbound traffic is denied and outbound traffic is allow-by-exception. Microsoft GCC High boundary controls and Entra Conditional Access protect authorized Exchange/SharePoint communications and administrative sessions.</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Network/data-flow diagrams; UDM-Pro rules/logs; Entra CA; Microsoft boundary responsibility evidence; allowed GCC High traffic and denied inbound/unauthorized traffic tests.</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SC.L2-3.13.2</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architectural designs, software development techniques, and systems engineering principles that promote effective information security within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SC-7, SA-8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A documented minimal architecture uses separate identity, endpoint, cloud, and boundary protections with security engineering principles.</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Security architecture/design record; enclave diagrams; secure configuration baseline; change/security-impact review; architecture review against scope and CUI flow.</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SC.L2-3.13.3</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Separate user functionality from system management functionality.</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SC-2</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Separate standard and administrative accounts and restricted roles separate user functionality from system-management functionality.</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Separate standard/admin account design; Entra roles; management-interface restrictions; privileged audit events; standard-user management-function deny test.</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SC.L2-3.13.4</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Prevent unauthorized and unintended information transfer via shared system resources.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SC-4</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Exchange/SharePoint permissions, endpoint cache and clipboard restrictions, process/application controls, and firewall rules prevent unauthorized or unintended CUI transfer through shared resources.</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Exchange/SharePoint permissions; endpoint cache/clipboard and application controls; firewall rules; approved transfer test; cross-user/shared-resource leakage deny test.</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SC.L2-3.13.5</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Implement subnetworks for publicly accessible system components that are physically or logically separated from internal networks.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SC-7</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the assessed boundary contains no publicly accessible system component. Public websites and anonymous/public sharing are outside the CUI enclave and are prohibited from processing, storing, or transmitting CUI.</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asset inventory and diagrams confirming no publicly accessible component in scope; public exposure/search review; assessor confirmation.</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SC.L2-3.13.6</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Deny network communications traffic by default and allow network communications traffic by exception (i.e., deny all, permit by exception).</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SC-7</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Network communications are denied by default and permitted only through approved, documented firewall exceptions.</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UDM-Pro deny-by-default rule set; Windows Firewall baseline; approved allow list; rule review/approval; permitted GCC High connection and unapproved-port deny tests.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SC.L2-3.13.7</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Prevent remote devices from simultaneously establishing non-remote connections with organizational systems and communicating via some other connection to resources in external networks (i.e., split tunneling).</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SC-7</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Proposed N/A: no remote device, VPN, split-tunnel client, hotspot, or alternate network path is authorized or configured for CUI. Outbound TLS access from VTC_CUI_WS1 to GCC High is not a simultaneous remote-device connection and does not create a split-tunneling path.</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N/A rationale; no VPN/remote device access path; network/CA configuration; split-tunnel prohibition; VPN/hotspot/alternate-path deny tests; assessor confirmation.</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 ) Met</w:t>
              <w:br/>
              <w:t>( ) Not Met</w:t>
              <w:br/>
              <w:t>(X)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SC.L2-3.13.8</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Implement cryptographic mechanisms to prevent unauthorized disclosure of CUI during transmission unless otherwise protected by alternative physical safeguards.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transmitted through the designated GCC High Exchange and SharePoint workflows uses TLS 1.2+ and documented FIPS-validated cryptographic modules. Unencrypted and legacy protocols are blocked.</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TLS/protocol settings; Microsoft/endpoint CMVP module evidence; Exchange/SharePoint secure-session capture; legacy/unencrypted protocol deny test.</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SC.L2-3.13.9</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Terminate network connections associated with communications sessions at the end of the sessions or after a defined period of inactivity.</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SC-10</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Network and cloud sessions terminate at session end or require reauthentication after the approved sign-in frequency, 15-minute endpoint inactivity lock, account disablement, administrative revocation, or risk event.</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CA/session settings; 15-minute endpoint lock; token revocation/disable-user evidence; session-end/inactivity test; UDM/session-log sample.</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SC.L2-3.13.10</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Establish and manage cryptographic keys for cryptography employed 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SC-12</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BitLocker recovery keys, Windows Hello/FIDO2 credentials, TLS keys/certificates, and other cryptographic material are generated and maintained through approved Microsoft/provider mechanisms, access-restricted, logged, escrowed or revoked as applicable, and never exposed in evidence.</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Cryptographic-key/credential inventory; BitLocker recovery-key access; certificate and Windows Hello/FIDO2 management; access logs; rotation/revocation demonstration.</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SC.L2-3.13.11</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Employ FIPS-validated cryptography when used to protect the confidentiality of CUI.</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SC-13</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VTC uses FIPS-validated cryptographic modules whenever cryptography is relied upon to protect CUI confidentiality. For GCC High Exchange/SharePoint data in transit and at rest, VTC retains Microsoft provider authorization, cryptographic-module, and customer-responsibility evidence. For VTC_CUI_WS1, VTC retains the exact operating-system build, module name/version, CMVP certificate, approved operating mode, BitLocker/Schannel configuration, and validation output. The Windows FIPS policy setting alone is not treated as proof of validation.</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Microsoft provider/CRM package; cryptographic-module matrix; applicable NIST CMVP certificates; OS build and approved-mode evidence; BitLocker/Schannel validation test.</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SC.L2-3.13.12</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Prohibit remote activation of collaborative computing devices and provide indication of devices in use to users present at the device.[29].</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SC-15</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Collaborative computing devices and capabilities are identified in the asset and software inventory. Camera and microphone capabilities on VTC_CUI_WS1 are disabled for CUI use through the approved BIOS/Intune/Windows baseline; remote activation is prohibited. Hardware and operating-system use indicators remain enabled and are tested so any permitted activation is visible to the user.</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Collaborative-device inventory; BIOS/Intune/Windows camera/microphone controls; remote-activation prohibition; hardware/OS use indicators; activation and indicator tests.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SC.L2-3.13.13</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and monitor the use of mobile code.</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SC-18</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Macros, scripts, PowerShell, browser code, and other mobile code are restricted by source, approval, role, and Defender/Intune controls.</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Mobile-code policy; browser/Office/PowerShell/macro controls; Defender/ASR and application inventory; authorized content test; unauthorized script/macro deny test.</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SC.L2-3.13.14</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Control and monitor the use of Voice over Internet Protocol (VoIP) technologies.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SC-19</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VoIP and collaboration technologies are controlled through the approved software inventory, application-control settings, firewall rules, and explicit prohibition on CUI use. Unauthorized clients are removed or blocked, relevant launch and network activity is monitored, and deny tests verify that VoIP cannot be used to communicate CUI from VTC_CUI_WS1.</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VoIP/collaboration policy; software inventory; application-control and firewall settings; monitoring logs; unauthorized client launch and VoIP traffic deny tests.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SC.L2-3.13.15</w:t>
            </w:r>
          </w:p>
        </w:tc>
        <w:tc>
          <w:tcPr>
            <w:tcW w:w="282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the authenticity of communications sessions.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SC-23</w:t>
            </w:r>
          </w:p>
        </w:tc>
        <w:tc>
          <w:tcPr>
            <w:tcW w:w="4439"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Exchange/SharePoint and administrative sessions use authenticated Entra identities, device identity, TLS certificate validation, and approved cryptographic mechanisms that protect session authenticity.</w:t>
            </w:r>
          </w:p>
        </w:tc>
        <w:tc>
          <w:tcPr>
            <w:tcW w:w="381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Entra user/device authentication; TLS certificate/session evidence; CA sign-in logs; approved session test; invalid certificate/unauthorized-session deny test.</w:t>
            </w:r>
          </w:p>
        </w:tc>
        <w:tc>
          <w:tcPr>
            <w:tcW w:w="1238"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SC.L2-3.13.16</w:t>
            </w:r>
          </w:p>
        </w:tc>
        <w:tc>
          <w:tcPr>
            <w:tcW w:w="282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Protect the confidentiality of CUI at rest.</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SC-28</w:t>
            </w:r>
          </w:p>
        </w:tc>
        <w:tc>
          <w:tcPr>
            <w:tcW w:w="4439"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CUI at rest in the designated GCC High Exchange mailbox and SharePoint CUI site is protected within the authorized Microsoft service boundary. Local CUI on VTC_CUI_WS1 is protected by BitLocker using the documented FIPS-validated module and approved configuration. Unencrypted local, removable, and alternate storage is prohibited.</w:t>
            </w:r>
          </w:p>
        </w:tc>
        <w:tc>
          <w:tcPr>
            <w:tcW w:w="381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Microsoft provider/CRM evidence; Exchange/SharePoint at-rest protection; BitLocker and CMVP module evidence; recovery-key access; unencrypted/removable storage deny tests.</w:t>
            </w:r>
          </w:p>
        </w:tc>
        <w:tc>
          <w:tcPr>
            <w:tcW w:w="1238"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pStyle w:val="Normal"/>
        <w:rPr>
          <w:rFonts w:ascii="Calibri" w:hAnsi="Calibri" w:cs="Calibri" w:asciiTheme="majorHAnsi" w:cstheme="majorHAnsi" w:hAnsiTheme="majorHAnsi"/>
          <w:sz w:val="20"/>
          <w:szCs w:val="20"/>
        </w:rPr>
      </w:pPr>
      <w:r>
        <w:rPr>
          <w:rFonts w:cs="Calibri" w:cstheme="majorHAnsi"/>
          <w:sz w:val="20"/>
          <w:szCs w:val="20"/>
        </w:rPr>
      </w:r>
    </w:p>
    <w:p>
      <w:pPr>
        <w:pStyle w:val="Heading2"/>
        <w:rPr>
          <w:rFonts w:cs="Calibri" w:cstheme="majorHAnsi"/>
          <w:sz w:val="20"/>
          <w:szCs w:val="20"/>
        </w:rPr>
      </w:pPr>
      <w:bookmarkStart w:id="100" w:name="__RefHeading___Toc4697_3414231214"/>
      <w:bookmarkStart w:id="101" w:name="_Toc235338159"/>
      <w:bookmarkEnd w:id="100"/>
      <w:r>
        <w:rPr>
          <w:rFonts w:eastAsia="Calibri" w:cs="Calibri" w:cstheme="majorHAnsi"/>
          <w:sz w:val="20"/>
          <w:szCs w:val="20"/>
        </w:rPr>
        <w:t>SI - System and Information Integrity</w:t>
      </w:r>
      <w:bookmarkEnd w:id="101"/>
    </w:p>
    <w:tbl>
      <w:tblPr>
        <w:tblW w:w="1481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305"/>
        <w:gridCol w:w="2357"/>
        <w:gridCol w:w="1194"/>
        <w:gridCol w:w="3676"/>
        <w:gridCol w:w="5046"/>
        <w:gridCol w:w="1237"/>
      </w:tblGrid>
      <w:tr>
        <w:trPr>
          <w:tblHeader w:val="true"/>
          <w:cantSplit w:val="true"/>
        </w:trPr>
        <w:tc>
          <w:tcPr>
            <w:tcW w:w="1305"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Requirement</w:t>
            </w:r>
          </w:p>
        </w:tc>
        <w:tc>
          <w:tcPr>
            <w:tcW w:w="2357"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800-171 Requirement</w:t>
            </w:r>
          </w:p>
        </w:tc>
        <w:tc>
          <w:tcPr>
            <w:tcW w:w="1194"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NIST SP 800-53 Source Control(s)</w:t>
            </w:r>
          </w:p>
        </w:tc>
        <w:tc>
          <w:tcPr>
            <w:tcW w:w="3676"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VTC Implementation Narrative</w:t>
            </w:r>
          </w:p>
        </w:tc>
        <w:tc>
          <w:tcPr>
            <w:tcW w:w="5046" w:type="dxa"/>
            <w:tcBorders>
              <w:top w:val="single" w:sz="6" w:space="0" w:color="B8C4CE"/>
              <w:start w:val="single" w:sz="6" w:space="0" w:color="B8C4CE"/>
              <w:bottom w:val="single" w:sz="6" w:space="0" w:color="B8C4CE"/>
              <w:end w:val="single" w:sz="6" w:space="0" w:color="B8C4CE"/>
            </w:tcBorders>
            <w:shd w:color="auto" w:fill="0D345A" w:val="clear"/>
          </w:tcPr>
          <w:p>
            <w:pPr>
              <w:pStyle w:val="Normal"/>
              <w:keepLines/>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Evidence / Test Expectations</w:t>
            </w:r>
          </w:p>
        </w:tc>
        <w:tc>
          <w:tcPr>
            <w:tcW w:w="1237"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spacing w:lineRule="auto" w:line="240" w:before="0" w:after="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DFARS Compliance</w:t>
              <w:br/>
              <w:t>Status (VTC)</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SI.L2-3.14.1</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Identify, report, and correct system flaws in a timely manner.</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Windows/Intune/Defender and vendor advisories identify flaws; remediation is risk-prioritized, tracked, tested, and evidenced.</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Defender/Intune flaw and update reports; vulnerability/advisory tickets; risk-based remediation timelines; patch/configuration evidence; rescanning/retest and closure.</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SI.L2-3.14.2</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Provide protection from malicious code at designated locations within organizational systems.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Defender for Endpoint/Antivirus provides real-time and cloud-delivered malicious-code protection on VTC_CUI_WS1.</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Defender Antivirus/EDR configuration and health; cloud protection/real-time scanning; endpoint status; EICAR or approved benign test-file detection and response.</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SI.L2-3.14.3</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Monitor system security alerts and advisories and take action in response.</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SI-2, SI-3, SI-5</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MSRC, Microsoft service health, CISA KEV/alerts, Ubiquiti, and customer notices are reviewed and acted upon.</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CISA/vendor/Microsoft advisory sources; monitoring log; applicability/risk decision; action ticket; sample advisory-to-remediation trace.</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SI.L2-3.14.4</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Update malicious code protection mechanisms when new releases are available.</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SI-3</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Defender security intelligence, engine, platform, Windows, and applications are updated automatically and monitored for failure.</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Defender engine/platform/signature update settings and current versions; update history; stale-signature alert; forced-update and post-update health test.</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SI.L2-3.14.5</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Perform periodic scans of organizational systems and real-time scans of files from external sources as files are downloaded, opened, or executed.</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SI-3</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Real-time/on-access scanning and documented periodic scans are performed; detections invoke incident response.</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Scheduled and real-time scan settings; scan history/results; download/open/execute protection; approved benign test-file scan; exception review.</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SI.L2-3.14.6</w:t>
            </w:r>
          </w:p>
        </w:tc>
        <w:tc>
          <w:tcPr>
            <w:tcW w:w="235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Monitor organizational systems, including inbound and outbound communications traffic, to detect attacks and indicators of potential attacks.</w:t>
            </w:r>
          </w:p>
        </w:tc>
        <w:tc>
          <w:tcPr>
            <w:tcW w:w="119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SI-4</w:t>
            </w:r>
          </w:p>
        </w:tc>
        <w:tc>
          <w:tcPr>
            <w:tcW w:w="367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Defender, Entra, Intune, Purview, Exchange/SharePoint, Windows, Control HUB, and UDM-Pro logs are monitored and correlated to detect attacks and indicators in inbound and outbound communications and system activity.</w:t>
            </w:r>
          </w:p>
        </w:tc>
        <w:tc>
          <w:tcPr>
            <w:tcW w:w="5046"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Defender/Entra/Purview/Exchange/Windows/Control HUB/UDM alerts and logs; weekly/monthly correlation review; simulated attack/indicator detection test.</w:t>
            </w:r>
          </w:p>
        </w:tc>
        <w:tc>
          <w:tcPr>
            <w:tcW w:w="1237"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r>
        <w:trPr>
          <w:cantSplit w:val="true"/>
        </w:trPr>
        <w:tc>
          <w:tcPr>
            <w:tcW w:w="1305"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SI.L2-3.14.7</w:t>
            </w:r>
          </w:p>
        </w:tc>
        <w:tc>
          <w:tcPr>
            <w:tcW w:w="235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Identify unauthorized use of organizational systems.</w:t>
            </w:r>
          </w:p>
        </w:tc>
        <w:tc>
          <w:tcPr>
            <w:tcW w:w="119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SI-4</w:t>
            </w:r>
          </w:p>
        </w:tc>
        <w:tc>
          <w:tcPr>
            <w:tcW w:w="367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lineRule="auto" w:line="240" w:before="0" w:after="0"/>
              <w:rPr>
                <w:rFonts w:ascii="Calibri" w:hAnsi="Calibri" w:cs="Calibri" w:asciiTheme="majorHAnsi" w:cstheme="majorHAnsi" w:hAnsiTheme="majorHAnsi"/>
                <w:sz w:val="20"/>
                <w:szCs w:val="20"/>
              </w:rPr>
            </w:pPr>
            <w:r>
              <w:rPr>
                <w:rFonts w:eastAsia="Calibri" w:cs="Calibri" w:cstheme="majorHAnsi"/>
                <w:sz w:val="20"/>
                <w:szCs w:val="20"/>
              </w:rPr>
              <w:t>Unauthorized use is identified through sign-in anomalies, device/software inventory, access reviews, audit logs, and boundary events.</w:t>
            </w:r>
          </w:p>
        </w:tc>
        <w:tc>
          <w:tcPr>
            <w:tcW w:w="5046"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Account/sign-in, process, application, device-control, Defender, and UDM logs; unauthorized-use indicators; review/escalation record; denied/unauthorized activity test.</w:t>
            </w:r>
          </w:p>
        </w:tc>
        <w:tc>
          <w:tcPr>
            <w:tcW w:w="1237"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vAlign w:val="center"/>
          </w:tcPr>
          <w:p>
            <w:pPr>
              <w:pStyle w:val="Normal"/>
              <w:spacing w:before="0" w:after="100"/>
              <w:rPr>
                <w:rFonts w:ascii="Calibri" w:hAnsi="Calibri" w:cs="Calibri" w:asciiTheme="majorHAnsi" w:cstheme="majorHAnsi" w:hAnsiTheme="majorHAnsi"/>
                <w:sz w:val="20"/>
                <w:szCs w:val="20"/>
              </w:rPr>
            </w:pPr>
            <w:r>
              <w:rPr>
                <w:rFonts w:eastAsia="Calibri" w:cs="Calibri" w:cstheme="majorHAnsi"/>
                <w:sz w:val="20"/>
                <w:szCs w:val="20"/>
              </w:rPr>
              <w:t>(X) Met</w:t>
              <w:br/>
              <w:t>( ) Not Met</w:t>
              <w:br/>
              <w:t>( ) Not Applicable</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orient="landscape" w:w="15840" w:h="12240"/>
          <w:pgMar w:left="504" w:right="504" w:gutter="0" w:header="360" w:top="936" w:footer="360" w:bottom="936"/>
          <w:pgNumType w:fmt="decimal"/>
          <w:formProt w:val="false"/>
          <w:textDirection w:val="lrTb"/>
          <w:docGrid w:type="default" w:linePitch="360" w:charSpace="0"/>
        </w:sectPr>
      </w:pPr>
    </w:p>
    <w:p>
      <w:pPr>
        <w:pStyle w:val="Heading1"/>
        <w:rPr>
          <w:rFonts w:cs="Calibri" w:cstheme="majorHAnsi"/>
        </w:rPr>
      </w:pPr>
      <w:bookmarkStart w:id="102" w:name="__RefHeading___Toc4699_3414231214"/>
      <w:bookmarkStart w:id="103" w:name="_Toc235338160"/>
      <w:bookmarkEnd w:id="102"/>
      <w:r>
        <w:rPr>
          <w:rFonts w:eastAsia="Calibri" w:cs="Calibri" w:cstheme="majorHAnsi"/>
          <w:sz w:val="20"/>
        </w:rPr>
        <w:t>Appendix B. Assessment Attachments and Evidence Navigation</w:t>
      </w:r>
      <w:bookmarkEnd w:id="103"/>
    </w:p>
    <w:p>
      <w:pPr>
        <w:pStyle w:val="Normal"/>
        <w:rPr>
          <w:rFonts w:ascii="Calibri" w:hAnsi="Calibri" w:cs="Calibri" w:asciiTheme="majorHAnsi" w:cstheme="majorHAnsi" w:hAnsiTheme="majorHAnsi"/>
          <w:sz w:val="20"/>
          <w:szCs w:val="20"/>
        </w:rPr>
      </w:pPr>
      <w:r>
        <w:rPr>
          <w:rFonts w:eastAsia="Calibri" w:cs="Calibri" w:cstheme="majorHAnsi"/>
          <w:sz w:val="20"/>
          <w:szCs w:val="20"/>
        </w:rPr>
        <w:t>The following controlled records are submitted with and incorporated into this SSP. The master document/evidence register and SHA-256 manifest identify authoritative versions and all supporting source paths.</w:t>
      </w:r>
    </w:p>
    <w:tbl>
      <w:tblPr>
        <w:tblW w:w="1020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33"/>
        <w:gridCol w:w="5244"/>
        <w:gridCol w:w="3131"/>
      </w:tblGrid>
      <w:tr>
        <w:trPr>
          <w:tblHeader w:val="true"/>
          <w:cantSplit w:val="true"/>
        </w:trPr>
        <w:tc>
          <w:tcPr>
            <w:tcW w:w="1833"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Identifier</w:t>
            </w:r>
          </w:p>
        </w:tc>
        <w:tc>
          <w:tcPr>
            <w:tcW w:w="5244"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Title</w:t>
            </w:r>
          </w:p>
        </w:tc>
        <w:tc>
          <w:tcPr>
            <w:tcW w:w="3131" w:type="dxa"/>
            <w:tcBorders>
              <w:top w:val="single" w:sz="6" w:space="0" w:color="B8C4CE"/>
              <w:start w:val="single" w:sz="6" w:space="0" w:color="B8C4CE"/>
              <w:bottom w:val="single" w:sz="6" w:space="0" w:color="B8C4CE"/>
              <w:end w:val="single" w:sz="6" w:space="0" w:color="B8C4CE"/>
            </w:tcBorders>
            <w:shd w:color="auto" w:fill="0D345A" w:val="clear"/>
            <w:vAlign w:val="center"/>
          </w:tcPr>
          <w:p>
            <w:pPr>
              <w:pStyle w:val="Normal"/>
              <w:keepLines/>
              <w:spacing w:before="0" w:after="100"/>
              <w:jc w:val="center"/>
              <w:rPr>
                <w:rFonts w:ascii="Calibri" w:hAnsi="Calibri" w:cs="Calibri" w:asciiTheme="majorHAnsi" w:cstheme="majorHAnsi" w:hAnsiTheme="majorHAnsi"/>
                <w:sz w:val="20"/>
                <w:szCs w:val="20"/>
              </w:rPr>
            </w:pPr>
            <w:r>
              <w:rPr>
                <w:rFonts w:eastAsia="Calibri" w:cs="Calibri" w:cstheme="majorHAnsi"/>
                <w:b/>
                <w:color w:val="FFFFFF"/>
                <w:sz w:val="20"/>
                <w:szCs w:val="20"/>
              </w:rPr>
              <w:t>Assessment Use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VTC-IMS-SSP-991</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pPr>
            <w:r>
              <w:rPr>
                <w:rFonts w:eastAsia="Calibri" w:cs="Calibri"/>
                <w:sz w:val="20"/>
              </w:rPr>
              <w:t>CMMC Level 2 Control and Objective Evidence Matrix, Rev. 2.0</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spacing w:before="0" w:after="100"/>
              <w:rPr/>
            </w:pPr>
            <w:r>
              <w:rPr>
                <w:rFonts w:eastAsia="Calibri" w:cs="Calibri"/>
                <w:sz w:val="20"/>
              </w:rPr>
              <w:t>Synchronized 110-requirement crosswalk and 320-objective evidence/test traceability; management status only, C3PAO validation pending.</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VTC-IMS-SSP-992</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CUI Scope, Asset Inventory, Data Flow and Boundary Plan</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Scope, Exchange/SharePoint CUI workflow, Control HUB SPA/ESP status, boundary, and data-flow rationale.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VTC-IMS-SSP-923</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Network Architecture Diagram</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Current network/security boundary diagram.</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VTC-IMS-SSP-922</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CUI Data Flow Diagram</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Approved CUI lifecycle and prohibited channels.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VTC-IMS-SSP-916</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Asset, Service and Software Inventory Register</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CUI assets, SPAs, services, restricted/out-of-scope assets and software baseline.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VTC-IMS-SSP-915</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Customer and Shared Responsibility Matrix</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Microsoft, Control HUB provider, VTC responsibilities, inherited services, and cryptographic-module evidence.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VTC-IMS-SSP-914</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MSP/MSSP Applicability Determination</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Documents that no third-party MSP/MSSP operates the current enclave.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VTC-IMS-SSP-921</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Role-Based Access Control Matrix</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Approved standard/admin roles, cloud access, local privileged MFA, permissions, and access-review procedure.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VTC-IMS-SSP-917</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Personnel Screening and CUI Training Matrix</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Eligibility and evidence register for applicable personnel.</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VTC-IMS-SSP-920</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Incident Response TTX and AAR</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2026 exercise, results, lessons learned and evidence.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VTC-IMS-SSP-919</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Annual CMMC Level 2 Risk Assessment</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Risk analysis, treatment and residual-risk determination.</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VTC-IMS-SSP-918</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POA&amp;M Status and Closure Register</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Historical item closure and current zero-open status.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VTC-IMS-SSP-989</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Master Document and Evidence Register</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Controlled-document baseline, endpoint audit archive, cryptographic evidence, and evidence categories.</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VTC-IMS-SSP-990</w:t>
            </w:r>
          </w:p>
        </w:tc>
        <w:tc>
          <w:tcPr>
            <w:tcW w:w="5244"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C3PAO Pre-Assessment Readiness Plan and Checklist</w:t>
            </w:r>
          </w:p>
        </w:tc>
        <w:tc>
          <w:tcPr>
            <w:tcW w:w="3131" w:type="dxa"/>
            <w:tcBorders>
              <w:top w:val="single" w:sz="6" w:space="0" w:color="B8C4CE"/>
              <w:start w:val="single" w:sz="6" w:space="0" w:color="B8C4CE"/>
              <w:bottom w:val="single" w:sz="6" w:space="0" w:color="B8C4CE"/>
              <w:end w:val="single" w:sz="6" w:space="0" w:color="B8C4CE"/>
            </w:tcBorders>
            <w:shd w:color="auto" w:fill="F4F7FA" w:val="clear"/>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request closure, upload order and quality gate.</w:t>
            </w:r>
          </w:p>
        </w:tc>
      </w:tr>
      <w:tr>
        <w:trPr>
          <w:cantSplit w:val="true"/>
        </w:trPr>
        <w:tc>
          <w:tcPr>
            <w:tcW w:w="1833"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SHA-256 Manifest</w:t>
            </w:r>
          </w:p>
        </w:tc>
        <w:tc>
          <w:tcPr>
            <w:tcW w:w="5244"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VTC_Control_HUB_and_PreAssessment_SHA256_Manifest.csv</w:t>
            </w:r>
          </w:p>
        </w:tc>
        <w:tc>
          <w:tcPr>
            <w:tcW w:w="3131" w:type="dxa"/>
            <w:tcBorders>
              <w:top w:val="single" w:sz="6" w:space="0" w:color="B8C4CE"/>
              <w:start w:val="single" w:sz="6" w:space="0" w:color="B8C4CE"/>
              <w:bottom w:val="single" w:sz="6" w:space="0" w:color="B8C4CE"/>
              <w:end w:val="single" w:sz="6" w:space="0" w:color="B8C4CE"/>
            </w:tcBorders>
            <w:tcMar>
              <w:top w:w="70" w:type="dxa"/>
              <w:start w:w="80" w:type="dxa"/>
              <w:bottom w:w="70" w:type="dxa"/>
              <w:end w:w="80" w:type="dxa"/>
            </w:tcMar>
          </w:tcPr>
          <w:p>
            <w:pPr>
              <w:pStyle w:val="Normal"/>
              <w:keepLines/>
              <w:spacing w:before="0" w:after="30"/>
              <w:rPr>
                <w:rFonts w:ascii="Calibri" w:hAnsi="Calibri" w:cs="Calibri" w:asciiTheme="majorHAnsi" w:cstheme="majorHAnsi" w:hAnsiTheme="majorHAnsi"/>
                <w:sz w:val="20"/>
                <w:szCs w:val="20"/>
              </w:rPr>
            </w:pPr>
            <w:r>
              <w:rPr>
                <w:rFonts w:eastAsia="Calibri" w:cs="Calibri" w:cstheme="majorHAnsi"/>
                <w:sz w:val="20"/>
                <w:szCs w:val="20"/>
              </w:rPr>
              <w:t>One row per source and generated artifact.</w:t>
            </w:r>
          </w:p>
        </w:tc>
      </w:tr>
    </w:tbl>
    <w:p>
      <w:pPr>
        <w:pStyle w:val="Heading2"/>
        <w:rPr>
          <w:rFonts w:cs="Calibri" w:cstheme="majorHAnsi"/>
        </w:rPr>
      </w:pPr>
      <w:bookmarkStart w:id="104" w:name="__RefHeading___Toc4701_3414231214"/>
      <w:bookmarkStart w:id="105" w:name="_Toc235338161"/>
      <w:bookmarkEnd w:id="104"/>
      <w:r>
        <w:rPr>
          <w:rFonts w:eastAsia="Calibri" w:cs="Calibri" w:cstheme="majorHAnsi"/>
          <w:sz w:val="20"/>
        </w:rPr>
        <w:t>Appendix B.1 SSP Maintenance Record</w:t>
      </w:r>
      <w:bookmarkEnd w:id="105"/>
    </w:p>
    <w:p>
      <w:pPr>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008" w:right="1008" w:gutter="0" w:header="360" w:top="936" w:footer="360" w:bottom="936"/>
          <w:pgNumType w:fmt="decimal"/>
          <w:formProt w:val="false"/>
          <w:textDirection w:val="lrTb"/>
          <w:docGrid w:type="default" w:linePitch="360" w:charSpace="0"/>
        </w:sectPr>
        <w:pStyle w:val="Normal"/>
        <w:rPr>
          <w:rFonts w:ascii="Calibri" w:hAnsi="Calibri" w:cs="Calibri" w:asciiTheme="majorHAnsi" w:cstheme="majorHAnsi" w:hAnsiTheme="majorHAnsi"/>
          <w:sz w:val="20"/>
          <w:szCs w:val="20"/>
        </w:rPr>
      </w:pPr>
      <w:r>
        <w:rPr>
          <w:rFonts w:eastAsia="Calibri" w:cs="Calibri" w:cstheme="majorHAnsi"/>
          <w:sz w:val="20"/>
          <w:szCs w:val="20"/>
        </w:rPr>
        <w:t>The SSP is reviewed at least annually and after material changes to contract/CUI use, Exchange/SharePoint workflow, personnel access, asset inventory, cloud services/licensing, endpoint build or cryptographic module, identity/MFA method, architecture, Control HUB/ESP providers, security controls, incidents, risk findings, or assessment results. A revised SSP receives a new revision number, approval record, updated evidence crosswalk, and integrity hash.</w:t>
      </w:r>
    </w:p>
    <w:p>
      <w:pPr>
        <w:pStyle w:val="Heading1"/>
        <w:keepNext w:val="true"/>
        <w:rPr/>
      </w:pPr>
      <w:bookmarkStart w:id="106" w:name="__RefHeading___Toc9434_2897348722"/>
      <w:bookmarkEnd w:id="106"/>
      <w:r>
        <w:rPr>
          <w:rFonts w:eastAsia="Calibri" w:cs="Calibri"/>
          <w:b/>
          <w:color w:val="123D63"/>
          <w:sz w:val="32"/>
        </w:rPr>
        <w:t>Appendix C. DFARS NIST SP 800-171A Compliance Assessment Objective Checklist</w:t>
      </w:r>
    </w:p>
    <w:p>
      <w:pPr>
        <w:pStyle w:val="Normal"/>
        <w:keepNext w:val="false"/>
        <w:spacing w:lineRule="auto" w:line="240" w:before="0" w:after="80"/>
        <w:rPr/>
      </w:pPr>
      <w:r>
        <w:rPr>
          <w:rFonts w:eastAsia="Calibri" w:cs="Calibri"/>
          <w:b w:val="false"/>
          <w:i w:val="false"/>
          <w:sz w:val="20"/>
        </w:rPr>
        <w:t>This appendix records VTC management’s objective-level DFARS/NIST SP 800-171 Rev. 2 self-assessment determinations using the assessment objectives in NIST SP 800-171A. Each [X] indicates that the applicable “Determine if” statement was reviewed and traced to the implementation and evidence identified below. These markings are management assertions and do not replace an independent assessor determination.</w:t>
      </w:r>
    </w:p>
    <w:p>
      <w:pPr>
        <w:pStyle w:val="Normal"/>
        <w:keepNext w:val="false"/>
        <w:spacing w:lineRule="auto" w:line="240" w:before="0" w:after="120"/>
        <w:rPr/>
      </w:pPr>
      <w:r>
        <w:rPr>
          <w:rFonts w:eastAsia="Calibri" w:cs="Calibri"/>
          <w:b/>
          <w:i w:val="false"/>
          <w:sz w:val="20"/>
        </w:rPr>
        <w:t xml:space="preserve">Not Applicable treatment: </w:t>
      </w:r>
      <w:r>
        <w:rPr>
          <w:rFonts w:eastAsia="Calibri" w:cs="Calibri"/>
          <w:b w:val="false"/>
          <w:i w:val="false"/>
          <w:sz w:val="20"/>
        </w:rPr>
        <w:t>For a requirement marked Not Applicable, [X] means the applicability determination and rationale were completed. It does not mean the absent capability was tested as an implemented safeguard. The requirement-level status and rationale control.</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3708"/>
        <w:gridCol w:w="3708"/>
        <w:gridCol w:w="3708"/>
        <w:gridCol w:w="3707"/>
      </w:tblGrid>
      <w:tr>
        <w:trPr/>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Management Status</w:t>
            </w:r>
          </w:p>
        </w:tc>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Count</w:t>
            </w:r>
          </w:p>
        </w:tc>
        <w:tc>
          <w:tcPr>
            <w:tcW w:w="3708"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Determine-If Marking</w:t>
            </w:r>
          </w:p>
        </w:tc>
        <w:tc>
          <w:tcPr>
            <w:tcW w:w="3707"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Interpretation</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i w:val="false"/>
                <w:sz w:val="20"/>
              </w:rPr>
              <w:t>Met</w:t>
            </w:r>
          </w:p>
        </w:tc>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val="false"/>
                <w:i w:val="false"/>
                <w:sz w:val="20"/>
              </w:rPr>
              <w:t>102</w:t>
            </w:r>
          </w:p>
        </w:tc>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val="false"/>
                <w:i w:val="false"/>
                <w:sz w:val="20"/>
              </w:rPr>
              <w:t>[X]</w:t>
            </w:r>
          </w:p>
        </w:tc>
        <w:tc>
          <w:tcPr>
            <w:tcW w:w="3707"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rPr/>
            </w:pPr>
            <w:r>
              <w:rPr>
                <w:rFonts w:eastAsia="Calibri" w:cs="Calibri"/>
                <w:b w:val="false"/>
                <w:i w:val="false"/>
                <w:sz w:val="20"/>
              </w:rPr>
              <w:t>Objective reviewed; management status is Met.</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FFFFF" w:val="clear"/>
          </w:tcPr>
          <w:p>
            <w:pPr>
              <w:pStyle w:val="Normal"/>
              <w:keepNext w:val="false"/>
              <w:spacing w:lineRule="auto" w:line="240" w:before="0" w:after="0"/>
              <w:jc w:val="center"/>
              <w:rPr/>
            </w:pPr>
            <w:r>
              <w:rPr>
                <w:rFonts w:eastAsia="Calibri" w:cs="Calibri"/>
                <w:b/>
                <w:i w:val="false"/>
                <w:sz w:val="20"/>
              </w:rPr>
              <w:t>Not Met</w:t>
            </w:r>
          </w:p>
        </w:tc>
        <w:tc>
          <w:tcPr>
            <w:tcW w:w="3708" w:type="dxa"/>
            <w:tcBorders>
              <w:top w:val="single" w:sz="6" w:space="0" w:color="8EA1B2"/>
              <w:start w:val="single" w:sz="6" w:space="0" w:color="8EA1B2"/>
              <w:bottom w:val="single" w:sz="6" w:space="0" w:color="8EA1B2"/>
              <w:end w:val="single" w:sz="6" w:space="0" w:color="8EA1B2"/>
            </w:tcBorders>
            <w:shd w:fill="FFFFFF" w:val="clear"/>
          </w:tcPr>
          <w:p>
            <w:pPr>
              <w:pStyle w:val="Normal"/>
              <w:keepNext w:val="false"/>
              <w:spacing w:lineRule="auto" w:line="240" w:before="0" w:after="0"/>
              <w:jc w:val="center"/>
              <w:rPr/>
            </w:pPr>
            <w:r>
              <w:rPr>
                <w:rFonts w:eastAsia="Calibri" w:cs="Calibri"/>
                <w:b w:val="false"/>
                <w:i w:val="false"/>
                <w:sz w:val="20"/>
              </w:rPr>
              <w:t>0</w:t>
            </w:r>
          </w:p>
        </w:tc>
        <w:tc>
          <w:tcPr>
            <w:tcW w:w="3708" w:type="dxa"/>
            <w:tcBorders>
              <w:top w:val="single" w:sz="6" w:space="0" w:color="8EA1B2"/>
              <w:start w:val="single" w:sz="6" w:space="0" w:color="8EA1B2"/>
              <w:bottom w:val="single" w:sz="6" w:space="0" w:color="8EA1B2"/>
              <w:end w:val="single" w:sz="6" w:space="0" w:color="8EA1B2"/>
            </w:tcBorders>
            <w:shd w:fill="FFFFFF" w:val="clear"/>
          </w:tcPr>
          <w:p>
            <w:pPr>
              <w:pStyle w:val="Normal"/>
              <w:keepNext w:val="false"/>
              <w:spacing w:lineRule="auto" w:line="240" w:before="0" w:after="0"/>
              <w:jc w:val="center"/>
              <w:rPr/>
            </w:pPr>
            <w:r>
              <w:rPr>
                <w:rFonts w:eastAsia="Calibri" w:cs="Calibri"/>
                <w:b w:val="false"/>
                <w:i w:val="false"/>
                <w:sz w:val="20"/>
              </w:rPr>
              <w:t>None</w:t>
            </w:r>
          </w:p>
        </w:tc>
        <w:tc>
          <w:tcPr>
            <w:tcW w:w="3707" w:type="dxa"/>
            <w:tcBorders>
              <w:top w:val="single" w:sz="6" w:space="0" w:color="8EA1B2"/>
              <w:start w:val="single" w:sz="6" w:space="0" w:color="8EA1B2"/>
              <w:bottom w:val="single" w:sz="6" w:space="0" w:color="8EA1B2"/>
              <w:end w:val="single" w:sz="6" w:space="0" w:color="8EA1B2"/>
            </w:tcBorders>
            <w:shd w:fill="FFFFFF" w:val="clear"/>
          </w:tcPr>
          <w:p>
            <w:pPr>
              <w:pStyle w:val="Normal"/>
              <w:keepNext w:val="false"/>
              <w:spacing w:lineRule="auto" w:line="240" w:before="0" w:after="0"/>
              <w:rPr/>
            </w:pPr>
            <w:r>
              <w:rPr>
                <w:rFonts w:eastAsia="Calibri" w:cs="Calibri"/>
                <w:b w:val="false"/>
                <w:i w:val="false"/>
                <w:sz w:val="20"/>
              </w:rPr>
              <w:t>No requirements are presently asserted as Not Met.</w:t>
            </w:r>
          </w:p>
        </w:tc>
      </w:tr>
      <w:tr>
        <w:trPr>
          <w:cantSplit w:val="true"/>
        </w:trPr>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i w:val="false"/>
                <w:sz w:val="20"/>
              </w:rPr>
              <w:t>Not Applicable</w:t>
            </w:r>
          </w:p>
        </w:tc>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val="false"/>
                <w:i w:val="false"/>
                <w:sz w:val="20"/>
              </w:rPr>
              <w:t>8</w:t>
            </w:r>
          </w:p>
        </w:tc>
        <w:tc>
          <w:tcPr>
            <w:tcW w:w="3708"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jc w:val="center"/>
              <w:rPr/>
            </w:pPr>
            <w:r>
              <w:rPr>
                <w:rFonts w:eastAsia="Calibri" w:cs="Calibri"/>
                <w:b w:val="false"/>
                <w:i w:val="false"/>
                <w:sz w:val="20"/>
              </w:rPr>
              <w:t>[X]</w:t>
            </w:r>
          </w:p>
        </w:tc>
        <w:tc>
          <w:tcPr>
            <w:tcW w:w="3707" w:type="dxa"/>
            <w:tcBorders>
              <w:top w:val="single" w:sz="6" w:space="0" w:color="8EA1B2"/>
              <w:start w:val="single" w:sz="6" w:space="0" w:color="8EA1B2"/>
              <w:bottom w:val="single" w:sz="6" w:space="0" w:color="8EA1B2"/>
              <w:end w:val="single" w:sz="6" w:space="0" w:color="8EA1B2"/>
            </w:tcBorders>
            <w:shd w:fill="F5F9FC" w:val="clear"/>
          </w:tcPr>
          <w:p>
            <w:pPr>
              <w:pStyle w:val="Normal"/>
              <w:keepNext w:val="false"/>
              <w:spacing w:lineRule="auto" w:line="240" w:before="0" w:after="0"/>
              <w:rPr/>
            </w:pPr>
            <w:r>
              <w:rPr>
                <w:rFonts w:eastAsia="Calibri" w:cs="Calibri"/>
                <w:b w:val="false"/>
                <w:i w:val="false"/>
                <w:sz w:val="20"/>
              </w:rPr>
              <w:t>Applicability and rationale reviewed; requirement is proposed N/A.</w:t>
            </w:r>
          </w:p>
        </w:tc>
      </w:tr>
    </w:tbl>
    <w:p>
      <w:pPr>
        <w:pStyle w:val="Normal"/>
        <w:rPr/>
      </w:pPr>
      <w:r>
        <w:rPr/>
      </w:r>
      <w:r>
        <w:br w:type="page"/>
      </w:r>
    </w:p>
    <w:p>
      <w:pPr>
        <w:pStyle w:val="AppendixCFamily"/>
        <w:keepNext w:val="true"/>
        <w:spacing w:before="0" w:after="120"/>
        <w:rPr/>
      </w:pPr>
      <w:r>
        <w:rPr>
          <w:rFonts w:eastAsia="Calibri" w:cs="Calibri"/>
          <w:b/>
          <w:i w:val="false"/>
          <w:color w:val="0B78B9"/>
          <w:sz w:val="25"/>
        </w:rPr>
        <w:t>3.1 Access Control</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3.1.1[a] </w:t>
            </w:r>
            <w:r>
              <w:rPr>
                <w:rFonts w:eastAsia="Calibri" w:cs="Calibri"/>
                <w:b w:val="false"/>
                <w:i w:val="false"/>
                <w:sz w:val="20"/>
              </w:rPr>
              <w:t>authorized users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3.1.1[b] </w:t>
            </w:r>
            <w:r>
              <w:rPr>
                <w:rFonts w:eastAsia="Calibri" w:cs="Calibri"/>
                <w:b w:val="false"/>
                <w:i w:val="false"/>
                <w:sz w:val="20"/>
              </w:rPr>
              <w:t>processes acting on behalf of authorized users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3.1.1[c] </w:t>
            </w:r>
            <w:r>
              <w:rPr>
                <w:rFonts w:eastAsia="Calibri" w:cs="Calibri"/>
                <w:b w:val="false"/>
                <w:i w:val="false"/>
                <w:sz w:val="20"/>
              </w:rPr>
              <w:t>devices (and other systems) authorized to connect to the system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3.1.1[d] </w:t>
            </w:r>
            <w:r>
              <w:rPr>
                <w:rFonts w:eastAsia="Calibri" w:cs="Calibri"/>
                <w:b w:val="false"/>
                <w:i w:val="false"/>
                <w:sz w:val="20"/>
              </w:rPr>
              <w:t>system access is limited to authorized users.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3.1.1[e] </w:t>
            </w:r>
            <w:r>
              <w:rPr>
                <w:rFonts w:eastAsia="Calibri" w:cs="Calibri"/>
                <w:b w:val="false"/>
                <w:i w:val="false"/>
                <w:sz w:val="20"/>
              </w:rPr>
              <w:t>system access is limited to processes acting on behalf of authorized users.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3.1.1[f] </w:t>
            </w:r>
            <w:r>
              <w:rPr>
                <w:rFonts w:eastAsia="Calibri" w:cs="Calibri"/>
                <w:b w:val="false"/>
                <w:i w:val="false"/>
                <w:sz w:val="20"/>
              </w:rPr>
              <w:t>system access is limited to authorized devices (including other systems).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system access to authorized users, processes acting on behalf of authorized users, and devices (including other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AC-2, AC-3, 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ID provides unique named identities; access to the designated Exchange CUI mailbox and SharePoint CUI site is limited to approved users on VTC_CUI_WS1, the sole authorized compliant device. Mobile, unmanaged, and other platforms are denied.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user/device exports; VTC_CUI_Users/Admins membership; SharePoint permissions; VTC_CUI_WS1 compliance. Test authorized and unauthorized user/device access.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3.1.2[a] </w:t>
            </w:r>
            <w:r>
              <w:rPr>
                <w:rFonts w:eastAsia="Calibri" w:cs="Calibri"/>
                <w:b w:val="false"/>
                <w:i w:val="false"/>
                <w:sz w:val="20"/>
              </w:rPr>
              <w:t>the types of transactions and functions that authorized users are permitted to execute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3.1.2[b] </w:t>
            </w:r>
            <w:r>
              <w:rPr>
                <w:rFonts w:eastAsia="Calibri" w:cs="Calibri"/>
                <w:b w:val="false"/>
                <w:i w:val="false"/>
                <w:sz w:val="20"/>
              </w:rPr>
              <w:t>system access is limited to the defined types of transactions and functions for authorized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system access to the types of transactions and functions that authorized users are permitted to execute.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AC-2, AC-3, 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groups, Exchange mailbox/delegation roles, SharePoint roles, and minimum administrative roles limit each user to approved transactions and functions.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RBAC matrix; Entra role assignments; SharePoint role/permission export; standard-versus-admin account demonstration; denied privileged-function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3.1.3[a] </w:t>
            </w:r>
            <w:r>
              <w:rPr>
                <w:rFonts w:eastAsia="Calibri" w:cs="Calibri"/>
                <w:b w:val="false"/>
                <w:i w:val="false"/>
                <w:sz w:val="20"/>
              </w:rPr>
              <w:t>information flow control policies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3.1.3[b] </w:t>
            </w:r>
            <w:r>
              <w:rPr>
                <w:rFonts w:eastAsia="Calibri" w:cs="Calibri"/>
                <w:b w:val="false"/>
                <w:i w:val="false"/>
                <w:sz w:val="20"/>
              </w:rPr>
              <w:t>methods and enforcement mechanisms for controlling the flow of CUI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3.1.3[c] </w:t>
            </w:r>
            <w:r>
              <w:rPr>
                <w:rFonts w:eastAsia="Calibri" w:cs="Calibri"/>
                <w:b w:val="false"/>
                <w:i w:val="false"/>
                <w:sz w:val="20"/>
              </w:rPr>
              <w:t>designated sources and destinations (e.g., networks, individuals, and devices) for CUI within the system and between interconnected systems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3.1.3[d] </w:t>
            </w:r>
            <w:r>
              <w:rPr>
                <w:rFonts w:eastAsia="Calibri" w:cs="Calibri"/>
                <w:b w:val="false"/>
                <w:i w:val="false"/>
                <w:sz w:val="20"/>
              </w:rPr>
              <w:t>authorizations for controlling the flow of CUI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3.1.3[e] </w:t>
            </w:r>
            <w:r>
              <w:rPr>
                <w:rFonts w:eastAsia="Calibri" w:cs="Calibri"/>
                <w:b w:val="false"/>
                <w:i w:val="false"/>
                <w:sz w:val="20"/>
              </w:rPr>
              <w:t>approved authorizations for controlling the flow of CUI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the flow of CUI in accordance with approved authorizations.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flow is restricted to the designated GCC High Exchange mailbox, SharePoint CUI site, and VTC_CUI_WS1 through approved TLS paths. Personal cloud, public links, external forwarding, removable media, and unapproved services are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CUI data-flow diagram; Exchange forwarding and SharePoint sharing settings; DLP/CA controls; approved transfer and prohibited-flow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3.1.4[a] </w:t>
            </w:r>
            <w:r>
              <w:rPr>
                <w:rFonts w:eastAsia="Calibri" w:cs="Calibri"/>
                <w:b w:val="false"/>
                <w:i w:val="false"/>
                <w:sz w:val="20"/>
              </w:rPr>
              <w:t>the duties of individuals requiring separation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3.1.4[b] </w:t>
            </w:r>
            <w:r>
              <w:rPr>
                <w:rFonts w:eastAsia="Calibri" w:cs="Calibri"/>
                <w:b w:val="false"/>
                <w:i w:val="false"/>
                <w:sz w:val="20"/>
              </w:rPr>
              <w:t>responsibilities for duties that require separation are assigned to separate individuals.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3.1.4[c] </w:t>
            </w:r>
            <w:r>
              <w:rPr>
                <w:rFonts w:eastAsia="Calibri" w:cs="Calibri"/>
                <w:b w:val="false"/>
                <w:i w:val="false"/>
                <w:sz w:val="20"/>
              </w:rPr>
              <w:t>access privileges that enable individuals to exercise the duties that require separation are granted to separate individuals.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Separate the duties of individuals to reduce the risk of malevolent activity without collusion.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separates authorization, implementation, and independent review. Joseph Murray performs approved technical administration and supplies change and privileged-activity evidence. Patrick Hanner independently reviews Joseph Murray and James Marshall privileged activity and change records at least monthly and after high-risk changes. James Marshall approves privileged-role assignments, high-risk changes, exceptions, and closures; no individual may approve their own privileged action.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RBAC and separation-of-duties procedure; change/privileged-activity records; Patrick Hanner independent review; James Marshall approval; no-self-approval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3.1.5[a] </w:t>
            </w:r>
            <w:r>
              <w:rPr>
                <w:rFonts w:eastAsia="Calibri" w:cs="Calibri"/>
                <w:b w:val="false"/>
                <w:i w:val="false"/>
                <w:sz w:val="20"/>
              </w:rPr>
              <w:t>privileged accounts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3.1.5[b] </w:t>
            </w:r>
            <w:r>
              <w:rPr>
                <w:rFonts w:eastAsia="Calibri" w:cs="Calibri"/>
                <w:b w:val="false"/>
                <w:i w:val="false"/>
                <w:sz w:val="20"/>
              </w:rPr>
              <w:t>access to privileged accounts is authorized in accordance with the principle of least privilege.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3.1.5[c] </w:t>
            </w:r>
            <w:r>
              <w:rPr>
                <w:rFonts w:eastAsia="Calibri" w:cs="Calibri"/>
                <w:b w:val="false"/>
                <w:i w:val="false"/>
                <w:sz w:val="20"/>
              </w:rPr>
              <w:t>security functions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3.1.5[d] </w:t>
            </w:r>
            <w:r>
              <w:rPr>
                <w:rFonts w:eastAsia="Calibri" w:cs="Calibri"/>
                <w:b w:val="false"/>
                <w:i w:val="false"/>
                <w:sz w:val="20"/>
              </w:rPr>
              <w:t>access to security functions is authorized in accordance with the principle of least privilege.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the principle of least privilege, including for specific security functions and privileged accounts.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Least privilege is enforced through group-based access, separate named administrator accounts, standard-user operation, quarterly access reviews, and approved time-limited exceptions. James Marshall uses his standard account for routine work and the separate jmarshall.admin account only for approved Entra User Administrator duties.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Privileged-account register; Entra role export; group membership and quarterly access review; time-limited exception record; least-privilege validation.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3.1.6[a] </w:t>
            </w:r>
            <w:r>
              <w:rPr>
                <w:rFonts w:eastAsia="Calibri" w:cs="Calibri"/>
                <w:b w:val="false"/>
                <w:i w:val="false"/>
                <w:sz w:val="20"/>
              </w:rPr>
              <w:t>nonsecurity functions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3.1.6[b] </w:t>
            </w:r>
            <w:r>
              <w:rPr>
                <w:rFonts w:eastAsia="Calibri" w:cs="Calibri"/>
                <w:b w:val="false"/>
                <w:i w:val="false"/>
                <w:sz w:val="20"/>
              </w:rPr>
              <w:t>users are required to use non-privileged accounts or roles when accessing nonsecurity functions.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Use non-privileged accounts or roles when accessing nonsecurity functions.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Administrators use non-privileged accounts for email, collaboration, browsing, document access, and other nonsecurity functions. James Marshall uses his standard VTC account for routine work and jmarshall.admin only for approved administrative duties; Joseph Murray likewise uses a separately assigned administrator identity for security functions.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Standard/admin account inventory; James Marshall standard account and jmarshall.admin evidence; Joseph Murray separate admin account; routine-use and admin-use sign-ins.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3.1.7[a] </w:t>
            </w:r>
            <w:r>
              <w:rPr>
                <w:rFonts w:eastAsia="Calibri" w:cs="Calibri"/>
                <w:b w:val="false"/>
                <w:i w:val="false"/>
                <w:sz w:val="20"/>
              </w:rPr>
              <w:t>privileged functions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3.1.7[b] </w:t>
            </w:r>
            <w:r>
              <w:rPr>
                <w:rFonts w:eastAsia="Calibri" w:cs="Calibri"/>
                <w:b w:val="false"/>
                <w:i w:val="false"/>
                <w:sz w:val="20"/>
              </w:rPr>
              <w:t>non-privileged users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3.1.7[c] </w:t>
            </w:r>
            <w:r>
              <w:rPr>
                <w:rFonts w:eastAsia="Calibri" w:cs="Calibri"/>
                <w:b w:val="false"/>
                <w:i w:val="false"/>
                <w:sz w:val="20"/>
              </w:rPr>
              <w:t>non-privileged users are prevented from executing privileged functions.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3.1.7[d] </w:t>
            </w:r>
            <w:r>
              <w:rPr>
                <w:rFonts w:eastAsia="Calibri" w:cs="Calibri"/>
                <w:b w:val="false"/>
                <w:i w:val="false"/>
                <w:sz w:val="20"/>
              </w:rPr>
              <w:t>the execution of privileged functions is captured in audit logs.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Prevent non-privileged users from executing privileged functions and capture the execution of such functions in audit logs.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Standard users cannot administer Entra, Intune, Defender, Purview, SharePoint, UDM-Pro, Control HUB, or VTC_CUI_WS1. Privileged functions require an approved named administrator account and are captured in Entra, Microsoft 365, endpoint, Control HUB, and boundary audit records.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Admin-role export; endpoint local Administrators membership; privileged audit events; standard-user denied-admin test; attributable privileged-action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3.1.8[a] </w:t>
            </w:r>
            <w:r>
              <w:rPr>
                <w:rFonts w:eastAsia="Calibri" w:cs="Calibri"/>
                <w:b w:val="false"/>
                <w:i w:val="false"/>
                <w:sz w:val="20"/>
              </w:rPr>
              <w:t>the means of limiting unsuccessful logon attempts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3.1.8[b] </w:t>
            </w:r>
            <w:r>
              <w:rPr>
                <w:rFonts w:eastAsia="Calibri" w:cs="Calibri"/>
                <w:b w:val="false"/>
                <w:i w:val="false"/>
                <w:sz w:val="20"/>
              </w:rPr>
              <w:t>the defined means of limiting unsuccessful logon attempts is implemented.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unsuccessful logon attempts.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smart lockout and the approved Windows account-lockout baseline limit repeated failed logons; threshold and lockout evidence are retained and suspicious failures are reviewed.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smart-lockout/password-protection settings; Windows account-lockout baseline; failed-sign-in events; repeated-invalid-password lockout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3.1.9[a] </w:t>
            </w:r>
            <w:r>
              <w:rPr>
                <w:rFonts w:eastAsia="Calibri" w:cs="Calibri"/>
                <w:b w:val="false"/>
                <w:i w:val="false"/>
                <w:sz w:val="20"/>
              </w:rPr>
              <w:t>privacy and security notices required by CUI-specified rules are identified, consistent, and associated with the specific CUI category.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3.1.9[b] </w:t>
            </w:r>
            <w:r>
              <w:rPr>
                <w:rFonts w:eastAsia="Calibri" w:cs="Calibri"/>
                <w:b w:val="false"/>
                <w:i w:val="false"/>
                <w:sz w:val="20"/>
              </w:rPr>
              <w:t>privacy and security notices are displayed.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privacy and security notices consistent with applicable CUI rules.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Approved security and privacy notices are displayed at sign-in or through organizational terms/acceptable-use acknowledgments.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CUI logon-banner text; Intune/Windows banner configuration; VTC_CUI_WS1 sign-in-screen capture; logon notice display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3.1.10</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3.1.10[a] </w:t>
            </w:r>
            <w:r>
              <w:rPr>
                <w:rFonts w:eastAsia="Calibri" w:cs="Calibri"/>
                <w:b w:val="false"/>
                <w:i w:val="false"/>
                <w:sz w:val="20"/>
              </w:rPr>
              <w:t>the period of inactivity after which the system initiates a session lock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3.1.10[b] </w:t>
            </w:r>
            <w:r>
              <w:rPr>
                <w:rFonts w:eastAsia="Calibri" w:cs="Calibri"/>
                <w:b w:val="false"/>
                <w:i w:val="false"/>
                <w:sz w:val="20"/>
              </w:rPr>
              <w:t>access to the system and viewing of data is prevented by initiating a session lock after the defined period of inactivity.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3.1.10[c] </w:t>
            </w:r>
            <w:r>
              <w:rPr>
                <w:rFonts w:eastAsia="Calibri" w:cs="Calibri"/>
                <w:b w:val="false"/>
                <w:i w:val="false"/>
                <w:sz w:val="20"/>
              </w:rPr>
              <w:t>previously visible information is concealed via a pattern-hiding display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Use session lock with pattern-hiding displays to prevent access and viewing of data after a period of inactivity.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AC-11</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VTC_CUI_WS1 locks after 15 minutes of inactivity and uses a pattern-hiding lock display requiring reauthentication.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Intune device-lock policy; Windows screen-lock settings; 15-minute inactivity test; pattern-hiding display capture; unlock/reauthentication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3.1.11[a] </w:t>
            </w:r>
            <w:r>
              <w:rPr>
                <w:rFonts w:eastAsia="Calibri" w:cs="Calibri"/>
                <w:b w:val="false"/>
                <w:i w:val="false"/>
                <w:sz w:val="20"/>
              </w:rPr>
              <w:t>conditions requiring a user session to terminate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3.1.11[b] </w:t>
            </w:r>
            <w:r>
              <w:rPr>
                <w:rFonts w:eastAsia="Calibri" w:cs="Calibri"/>
                <w:b w:val="false"/>
                <w:i w:val="false"/>
                <w:sz w:val="20"/>
              </w:rPr>
              <w:t>a user session is automatically terminated after any of the defined conditions occur.</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Terminate (automatically) a user session after a defined condition.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Endpoint and cloud sessions terminate or require reauthentication at approved sign-in-frequency, inactivity, risk, account-disablement, or administrative-revocation conditions.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Conditional Access sign-in-frequency/session settings; endpoint lock/termination settings; token revocation evidence; disable-user and session-expiration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3.1.12[a] </w:t>
            </w:r>
            <w:r>
              <w:rPr>
                <w:rFonts w:eastAsia="Calibri" w:cs="Calibri"/>
                <w:b w:val="false"/>
                <w:i w:val="false"/>
                <w:sz w:val="20"/>
              </w:rPr>
              <w:t>remote access sessions are permitted.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3.1.12[b] </w:t>
            </w:r>
            <w:r>
              <w:rPr>
                <w:rFonts w:eastAsia="Calibri" w:cs="Calibri"/>
                <w:b w:val="false"/>
                <w:i w:val="false"/>
                <w:sz w:val="20"/>
              </w:rPr>
              <w:t>the types of permitted remote access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3.1.12[c] </w:t>
            </w:r>
            <w:r>
              <w:rPr>
                <w:rFonts w:eastAsia="Calibri" w:cs="Calibri"/>
                <w:b w:val="false"/>
                <w:i w:val="false"/>
                <w:sz w:val="20"/>
              </w:rPr>
              <w:t>remote access sessions are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3.1.12[d] </w:t>
            </w:r>
            <w:r>
              <w:rPr>
                <w:rFonts w:eastAsia="Calibri" w:cs="Calibri"/>
                <w:b w:val="false"/>
                <w:i w:val="false"/>
                <w:sz w:val="20"/>
              </w:rPr>
              <w:t>remote access sessions are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Monitor and control remote access sessions.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Authorized remote/network access consists of outbound sessions from VTC_CUI_WS1 to GCC High Exchange, SharePoint, and approved administrative services. Sessions are controlled by Entra Conditional Access and monitored through Entra, Purview, Exchange/SharePoint, Defender, and UDM-Pro logs. Inbound remote interactive access to VTC_CUI_WS1 is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CA policy/export; Entra and GCC High audit/sign-in logs; UDM-Pro records; approved cloud session test; inbound RDP/VPN/remote-support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3.1.13[a] </w:t>
            </w:r>
            <w:r>
              <w:rPr>
                <w:rFonts w:eastAsia="Calibri" w:cs="Calibri"/>
                <w:b w:val="false"/>
                <w:i w:val="false"/>
                <w:sz w:val="20"/>
              </w:rPr>
              <w:t>cryptographic mechanisms to protect the confidentiality of remote access sessions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3.1.13[b] </w:t>
            </w:r>
            <w:r>
              <w:rPr>
                <w:rFonts w:eastAsia="Calibri" w:cs="Calibri"/>
                <w:b w:val="false"/>
                <w:i w:val="false"/>
                <w:sz w:val="20"/>
              </w:rPr>
              <w:t>cryptographic mechanisms to protect the confidentiality of remote access sessions are implemented.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cryptographic mechanisms to protect the confidentiality of remote access sessions.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Authorized cloud remote/network access uses TLS 1.2+ through documented FIPS-validated cryptographic modules. Legacy authentication, clear-text protocols, and unencrypted remote paths are blocked.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TLS/protocol settings; legacy-authentication block; Microsoft/endpoint CMVP module evidence; secure-session capture; clear-text/legacy-path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3.1.14[a] </w:t>
            </w:r>
            <w:r>
              <w:rPr>
                <w:rFonts w:eastAsia="Calibri" w:cs="Calibri"/>
                <w:b w:val="false"/>
                <w:i w:val="false"/>
                <w:sz w:val="20"/>
              </w:rPr>
              <w:t>managed access control points are identified and implemented.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3.1.14[b] </w:t>
            </w:r>
            <w:r>
              <w:rPr>
                <w:rFonts w:eastAsia="Calibri" w:cs="Calibri"/>
                <w:b w:val="false"/>
                <w:i w:val="false"/>
                <w:sz w:val="20"/>
              </w:rPr>
              <w:t>remote access is routed through managed network access control points.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Route remote access via managed access control points.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Authorized cloud access is routed through the managed UDM-Pro/UniFi boundary and Entra Conditional Access. Only VTC_CUI_WS1 may establish CUI sessions; direct, unmanaged, mobile, and alternate network paths are denied.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Network and CUI-flow diagrams; UDM-Pro boundary rules; CA device filter; approved GCC High path test; unmanaged/mobile/alternate-path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3.1.15[a] </w:t>
            </w:r>
            <w:r>
              <w:rPr>
                <w:rFonts w:eastAsia="Calibri" w:cs="Calibri"/>
                <w:b w:val="false"/>
                <w:i w:val="false"/>
                <w:sz w:val="20"/>
              </w:rPr>
              <w:t>privileged commands authorized for remote execution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3.1.15[b] </w:t>
            </w:r>
            <w:r>
              <w:rPr>
                <w:rFonts w:eastAsia="Calibri" w:cs="Calibri"/>
                <w:b w:val="false"/>
                <w:i w:val="false"/>
                <w:sz w:val="20"/>
              </w:rPr>
              <w:t>security-relevant information authorized to be accessed remotely is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3.1.15[c] </w:t>
            </w:r>
            <w:r>
              <w:rPr>
                <w:rFonts w:eastAsia="Calibri" w:cs="Calibri"/>
                <w:b w:val="false"/>
                <w:i w:val="false"/>
                <w:sz w:val="20"/>
              </w:rPr>
              <w:t>the execution of the identified privileged commands via remote access is authorized.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3.1.15[d] </w:t>
            </w:r>
            <w:r>
              <w:rPr>
                <w:rFonts w:eastAsia="Calibri" w:cs="Calibri"/>
                <w:b w:val="false"/>
                <w:i w:val="false"/>
                <w:sz w:val="20"/>
              </w:rPr>
              <w:t>access to the identified security-relevant information via remote access is authorized.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Authorize remote execution of privileged commands and remote access to security- relevant information.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Remote execution of privileged commands and remote access to security-relevant information through Entra, Intune, Defender, Purview, Exchange, and SharePoint administrative services is limited to approved separate administrator accounts using MFA and VTC_CUI_WS1. Privileged activity is logged and reviewed; remote control of the endpoint is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Admin-role/RBAC matrix; separate admin identities; MFA/CA evidence; privileged cloud audit events; approved admin-session test; endpoint remote-control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3.1.16[a] </w:t>
            </w:r>
            <w:r>
              <w:rPr>
                <w:rFonts w:eastAsia="Calibri" w:cs="Calibri"/>
                <w:b w:val="false"/>
                <w:i w:val="false"/>
                <w:sz w:val="20"/>
              </w:rPr>
              <w:t>wireless access points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3.1.16[b] </w:t>
            </w:r>
            <w:r>
              <w:rPr>
                <w:rFonts w:eastAsia="Calibri" w:cs="Calibri"/>
                <w:b w:val="false"/>
                <w:i w:val="false"/>
                <w:sz w:val="20"/>
              </w:rPr>
              <w:t>wireless access is authorized prior to allowing such connections.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Authorize wireless access prior to allowing such connections.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Wireless access is not authorized for the CUI enclave. The wireless interface on VTC_CUI_WS1 is disabled by the approved endpoint baseline; any future enablement requires documented authorization, security-impact analysis, SSP/scope update, and validation before use.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Wireless-access policy; hardware inventory; Intune/Windows Wi-Fi disablement; change-approval requirement; adapter-status and unauthorized-enable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3.1.17[a] </w:t>
            </w:r>
            <w:r>
              <w:rPr>
                <w:rFonts w:eastAsia="Calibri" w:cs="Calibri"/>
                <w:b w:val="false"/>
                <w:i w:val="false"/>
                <w:sz w:val="20"/>
              </w:rPr>
              <w:t>wireless access to the system is protected using authentication.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3.1.17[b] </w:t>
            </w:r>
            <w:r>
              <w:rPr>
                <w:rFonts w:eastAsia="Calibri" w:cs="Calibri"/>
                <w:b w:val="false"/>
                <w:i w:val="false"/>
                <w:sz w:val="20"/>
              </w:rPr>
              <w:t>wireless access to the system is protected using encryption.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wireless access using authentication and encryption.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the assessed boundary contains no authorized wireless access point or wireless CUI path. The endpoint wireless interface is disabled and deny-tested as supporting prohibition evidence; the N/A rationale is based on the absence of any authorized wireless connection in scope, not solely on a disabled setting.</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wireless inventory and disablement evidence; wired-only network diagram; Wi-Fi connection deny test; assessor confirmation that no authorized wireless path exists.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3.1.18[a] </w:t>
            </w:r>
            <w:r>
              <w:rPr>
                <w:rFonts w:eastAsia="Calibri" w:cs="Calibri"/>
                <w:b w:val="false"/>
                <w:i w:val="false"/>
                <w:sz w:val="20"/>
              </w:rPr>
              <w:t>mobile devices that process, store, or transmit CUI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3.1.18[b] </w:t>
            </w:r>
            <w:r>
              <w:rPr>
                <w:rFonts w:eastAsia="Calibri" w:cs="Calibri"/>
                <w:b w:val="false"/>
                <w:i w:val="false"/>
                <w:sz w:val="20"/>
              </w:rPr>
              <w:t>mobile device connections are authorized.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3.1.18[c] </w:t>
            </w:r>
            <w:r>
              <w:rPr>
                <w:rFonts w:eastAsia="Calibri" w:cs="Calibri"/>
                <w:b w:val="false"/>
                <w:i w:val="false"/>
                <w:sz w:val="20"/>
              </w:rPr>
              <w:t>mobile device connections are monitored and logged.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connection of mobile devices.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no mobile device is an in-scope CUI asset or is authorized to process, store, or transmit CUI. Conditional Access denies iOS, Android, macOS, Linux, unknown, unmanaged, and all devices other than VTC_CUI_WS1 from CUI services. A personal phone may serve only as an authentication factor and does not receive CUI.</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CA mobile-platform/device block; device inventory; Authenticator-only restriction; iOS/Android/unmanaged-device sign-in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3.1.19[a] </w:t>
            </w:r>
            <w:r>
              <w:rPr>
                <w:rFonts w:eastAsia="Calibri" w:cs="Calibri"/>
                <w:b w:val="false"/>
                <w:i w:val="false"/>
                <w:sz w:val="20"/>
              </w:rPr>
              <w:t>mobile devices and mobile computing platforms that process, store, or transmit CUI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3.1.19[b] </w:t>
            </w:r>
            <w:r>
              <w:rPr>
                <w:rFonts w:eastAsia="Calibri" w:cs="Calibri"/>
                <w:b w:val="false"/>
                <w:i w:val="false"/>
                <w:sz w:val="20"/>
              </w:rPr>
              <w:t>encryption is employed to protect CUI on identified mobile devices and mobile computing platforms.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Encrypt CUI on mobile devices and mobile computing platforms.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AC-19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AC.L2-3.1.19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no mobile device or mobile computing platform is authorized or technically permitted to process, store, or transmit CUI; therefore no in-scope mobile CUI storage exists to encrypt.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mobile-device prohibition; CA platform block; inventory showing no CUI-capable mobile device; mobile storage/access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3.1.20</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3.1.20[a] </w:t>
            </w:r>
            <w:r>
              <w:rPr>
                <w:rFonts w:eastAsia="Calibri" w:cs="Calibri"/>
                <w:b w:val="false"/>
                <w:i w:val="false"/>
                <w:sz w:val="20"/>
              </w:rPr>
              <w:t>connections to external systems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3.1.20[b] </w:t>
            </w:r>
            <w:r>
              <w:rPr>
                <w:rFonts w:eastAsia="Calibri" w:cs="Calibri"/>
                <w:b w:val="false"/>
                <w:i w:val="false"/>
                <w:sz w:val="20"/>
              </w:rPr>
              <w:t>the use of external systems is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3.1.20[c] </w:t>
            </w:r>
            <w:r>
              <w:rPr>
                <w:rFonts w:eastAsia="Calibri" w:cs="Calibri"/>
                <w:b w:val="false"/>
                <w:i w:val="false"/>
                <w:sz w:val="20"/>
              </w:rPr>
              <w:t>connections to external systems are verified.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3.1.20[d] </w:t>
            </w:r>
            <w:r>
              <w:rPr>
                <w:rFonts w:eastAsia="Calibri" w:cs="Calibri"/>
                <w:b w:val="false"/>
                <w:i w:val="false"/>
                <w:sz w:val="20"/>
              </w:rPr>
              <w:t>the use of external systems is verified.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3.1.20[e] </w:t>
            </w:r>
            <w:r>
              <w:rPr>
                <w:rFonts w:eastAsia="Calibri" w:cs="Calibri"/>
                <w:b w:val="false"/>
                <w:i w:val="false"/>
                <w:sz w:val="20"/>
              </w:rPr>
              <w:t>connections to external systems are controlled/limited.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3.1.20[f] </w:t>
            </w:r>
            <w:r>
              <w:rPr>
                <w:rFonts w:eastAsia="Calibri" w:cs="Calibri"/>
                <w:b w:val="false"/>
                <w:i w:val="false"/>
                <w:sz w:val="20"/>
              </w:rPr>
              <w:t>the use of external systems is controlled/limited.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Verify and control/limit connections to and use of external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AC-20</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AC.L2-3.1.20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External connections are limited by the UDM-Pro deny-by-default rule set, approved OAuth/application connections, and the external connections register.</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External-connections register; CRM/SRM; network/data-flow diagrams; UDM-Pro and CA restrictions; approved-provider connection review; unauthorized external-system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3.1.21[a] </w:t>
            </w:r>
            <w:r>
              <w:rPr>
                <w:rFonts w:eastAsia="Calibri" w:cs="Calibri"/>
                <w:b w:val="false"/>
                <w:i w:val="false"/>
                <w:sz w:val="20"/>
              </w:rPr>
              <w:t>the use of portable storage devices containing CUI on external systems is identified and documented.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3.1.21[b] </w:t>
            </w:r>
            <w:r>
              <w:rPr>
                <w:rFonts w:eastAsia="Calibri" w:cs="Calibri"/>
                <w:b w:val="false"/>
                <w:i w:val="false"/>
                <w:sz w:val="20"/>
              </w:rPr>
              <w:t>limits on the use of portable storage devices containing CUI on external systems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3.1.21[c] </w:t>
            </w:r>
            <w:r>
              <w:rPr>
                <w:rFonts w:eastAsia="Calibri" w:cs="Calibri"/>
                <w:b w:val="false"/>
                <w:i w:val="false"/>
                <w:sz w:val="20"/>
              </w:rPr>
              <w:t>the use of portable storage devices containing CUI on external systems is limited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use of portable storage devices on external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AC-20</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Portable storage is prohibited on external systems and within the enclave. Any exceptional use requires named ownership, approved encryption, chain-of-custody, and authorization.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Portable-storage policy; removable-media deny baseline; external-system prohibition; device-control logs; USB storage insertion and external-use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3.1.22[a] </w:t>
            </w:r>
            <w:r>
              <w:rPr>
                <w:rFonts w:eastAsia="Calibri" w:cs="Calibri"/>
                <w:b w:val="false"/>
                <w:i w:val="false"/>
                <w:sz w:val="20"/>
              </w:rPr>
              <w:t>individuals authorized to post or process information on publicly accessible systems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3.1.22[b] </w:t>
            </w:r>
            <w:r>
              <w:rPr>
                <w:rFonts w:eastAsia="Calibri" w:cs="Calibri"/>
                <w:b w:val="false"/>
                <w:i w:val="false"/>
                <w:sz w:val="20"/>
              </w:rPr>
              <w:t>procedures to ensure CUI is not posted or processed on publicly accessible systems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3.1.22[c] </w:t>
            </w:r>
            <w:r>
              <w:rPr>
                <w:rFonts w:eastAsia="Calibri" w:cs="Calibri"/>
                <w:b w:val="false"/>
                <w:i w:val="false"/>
                <w:sz w:val="20"/>
              </w:rPr>
              <w:t>a review process is in place prior to posting of any content to publicly accessible systems.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3.1.22[d] </w:t>
            </w:r>
            <w:r>
              <w:rPr>
                <w:rFonts w:eastAsia="Calibri" w:cs="Calibri"/>
                <w:b w:val="false"/>
                <w:i w:val="false"/>
                <w:sz w:val="20"/>
              </w:rPr>
              <w:t>content on publicly accessible systems is reviewed to ensure that it does not include CUI.</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3.1.22[e] </w:t>
            </w:r>
            <w:r>
              <w:rPr>
                <w:rFonts w:eastAsia="Calibri" w:cs="Calibri"/>
                <w:b w:val="false"/>
                <w:i w:val="false"/>
                <w:sz w:val="20"/>
              </w:rPr>
              <w:t>mechanisms are in place to remove and address improper posting of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CUI posted or processed on publicly accessible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AC-22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AC.L2-3.1.22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is prohibited on public websites and public links. Public content is reviewed before posting, and public systems remain outside the CUI boundary.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Public-information procedure; SharePoint external/anonymous sharing settings; Exchange forwarding restrictions; public-site review; improper-posting removal exercise.</w:t>
            </w:r>
          </w:p>
        </w:tc>
      </w:tr>
    </w:tbl>
    <w:p>
      <w:pPr>
        <w:pStyle w:val="AppendixCFamily"/>
        <w:keepNext w:val="true"/>
        <w:spacing w:before="0" w:after="120"/>
        <w:rPr/>
      </w:pPr>
      <w:r>
        <w:br w:type="page"/>
      </w:r>
      <w:r>
        <w:rPr>
          <w:rFonts w:eastAsia="Calibri" w:cs="Calibri"/>
          <w:b/>
          <w:i w:val="false"/>
          <w:color w:val="0B78B9"/>
          <w:sz w:val="25"/>
        </w:rPr>
        <w:t>3.2 Awareness and Training</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3.2.1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3.2.1[a] </w:t>
            </w:r>
            <w:r>
              <w:rPr>
                <w:rFonts w:eastAsia="Calibri" w:cs="Calibri"/>
                <w:b w:val="false"/>
                <w:i w:val="false"/>
                <w:sz w:val="20"/>
              </w:rPr>
              <w:t>security risks associated with organizational activities involving CUI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3.2.1[b] </w:t>
            </w:r>
            <w:r>
              <w:rPr>
                <w:rFonts w:eastAsia="Calibri" w:cs="Calibri"/>
                <w:b w:val="false"/>
                <w:i w:val="false"/>
                <w:sz w:val="20"/>
              </w:rPr>
              <w:t>policies, standards, and procedures related to the security of the system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3.2.1[c] </w:t>
            </w:r>
            <w:r>
              <w:rPr>
                <w:rFonts w:eastAsia="Calibri" w:cs="Calibri"/>
                <w:b w:val="false"/>
                <w:i w:val="false"/>
                <w:sz w:val="20"/>
              </w:rPr>
              <w:t>managers, systems administrators, and users of the system are made aware of the security risks associated with their activities.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3.2.1[d] </w:t>
            </w:r>
            <w:r>
              <w:rPr>
                <w:rFonts w:eastAsia="Calibri" w:cs="Calibri"/>
                <w:b w:val="false"/>
                <w:i w:val="false"/>
                <w:sz w:val="20"/>
              </w:rPr>
              <w:t>managers, systems administrators, and users of the system are made aware of the applicable policies, standards, and procedures related to the security of the system.</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Ensure that managers, systems administrators, and users of organizational systems are made aware of the security risks associated with their activities and of the applicable policies, standards, and procedures related to the security of those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AT-2, AT-3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AT.L2-3.2.1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All authorized personnel complete initial and annual security awareness and CUI handling training with retained completion evidence.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Security/CUI awareness curriculum; completion certificates and training matrix; annual renewal record; user acknowledgments; employee interview.</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3.2.2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3.2.2[a] </w:t>
            </w:r>
            <w:r>
              <w:rPr>
                <w:rFonts w:eastAsia="Calibri" w:cs="Calibri"/>
                <w:b w:val="false"/>
                <w:i w:val="false"/>
                <w:sz w:val="20"/>
              </w:rPr>
              <w:t>information security-related duties, roles, and responsibilities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3.2.2[b] </w:t>
            </w:r>
            <w:r>
              <w:rPr>
                <w:rFonts w:eastAsia="Calibri" w:cs="Calibri"/>
                <w:b w:val="false"/>
                <w:i w:val="false"/>
                <w:sz w:val="20"/>
              </w:rPr>
              <w:t>information security-related duties, roles, and responsibilities are assigned to designated personnel.</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3.2.2[c] </w:t>
            </w:r>
            <w:r>
              <w:rPr>
                <w:rFonts w:eastAsia="Calibri" w:cs="Calibri"/>
                <w:b w:val="false"/>
                <w:i w:val="false"/>
                <w:sz w:val="20"/>
              </w:rPr>
              <w:t>personnel are adequately trained to carry out their assigned information security-related duties, roles, and responsibilities.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Ensure that personnel are trained to carry out their assigned information security-related duties and responsibilities.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AT-2, AT-3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AT.L2-3.2.2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Administrators and control owners complete role-based training and demonstrate assigned security tasks.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Role-based training matrix; administrator training record; assigned-duty descriptions; completion/renewal evidence; administrator interview and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3.2.3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3.2.3[a] </w:t>
            </w:r>
            <w:r>
              <w:rPr>
                <w:rFonts w:eastAsia="Calibri" w:cs="Calibri"/>
                <w:b w:val="false"/>
                <w:i w:val="false"/>
                <w:sz w:val="20"/>
              </w:rPr>
              <w:t>potential indicators associated with insider threats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3.2.3[b] </w:t>
            </w:r>
            <w:r>
              <w:rPr>
                <w:rFonts w:eastAsia="Calibri" w:cs="Calibri"/>
                <w:b w:val="false"/>
                <w:i w:val="false"/>
                <w:sz w:val="20"/>
              </w:rPr>
              <w:t>security awareness training on recognizing and reporting potential indicators of insider threat is provided to managers and employees.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security awareness training on recognizing and reporting potential indicators of insider threat.</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AT-2(2)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AT.L2-3.2.3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Training includes insider-threat indicators, reporting channels, social engineering, abnormal behavior, and safeguarding obligations.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Insider-threat awareness content; completion records; reporting channels and acknowledgment; employee interview using a potential-indicator scenario.</w:t>
            </w:r>
          </w:p>
        </w:tc>
      </w:tr>
    </w:tbl>
    <w:p>
      <w:pPr>
        <w:pStyle w:val="AppendixCFamily"/>
        <w:keepNext w:val="true"/>
        <w:spacing w:before="0" w:after="120"/>
        <w:rPr/>
      </w:pPr>
      <w:r>
        <w:br w:type="page"/>
      </w:r>
      <w:r>
        <w:rPr>
          <w:rFonts w:eastAsia="Calibri" w:cs="Calibri"/>
          <w:b/>
          <w:i w:val="false"/>
          <w:color w:val="0B78B9"/>
          <w:sz w:val="25"/>
        </w:rPr>
        <w:t>3.3 Audit and Accountability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3.3.1[a] </w:t>
            </w:r>
            <w:r>
              <w:rPr>
                <w:rFonts w:eastAsia="Calibri" w:cs="Calibri"/>
                <w:b w:val="false"/>
                <w:i w:val="false"/>
                <w:sz w:val="20"/>
              </w:rPr>
              <w:t>audit logs needed (i.e., event types to be logged) to enable the monitoring, analysis, investigation, and reporting of unlawful or unauthorized system activity are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3.3.1[b] </w:t>
            </w:r>
            <w:r>
              <w:rPr>
                <w:rFonts w:eastAsia="Calibri" w:cs="Calibri"/>
                <w:b w:val="false"/>
                <w:i w:val="false"/>
                <w:sz w:val="20"/>
              </w:rPr>
              <w:t>the content of audit records needed to support monitoring, analysis, investigation, and reporting of unlawful or unauthorized system activity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3.3.1[c] </w:t>
            </w:r>
            <w:r>
              <w:rPr>
                <w:rFonts w:eastAsia="Calibri" w:cs="Calibri"/>
                <w:b w:val="false"/>
                <w:i w:val="false"/>
                <w:sz w:val="20"/>
              </w:rPr>
              <w:t>audit records are created (generated).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3.3.1[d] </w:t>
            </w:r>
            <w:r>
              <w:rPr>
                <w:rFonts w:eastAsia="Calibri" w:cs="Calibri"/>
                <w:b w:val="false"/>
                <w:i w:val="false"/>
                <w:sz w:val="20"/>
              </w:rPr>
              <w:t>audit records, once created, contain the defined content.</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3.3.1[e] </w:t>
            </w:r>
            <w:r>
              <w:rPr>
                <w:rFonts w:eastAsia="Calibri" w:cs="Calibri"/>
                <w:b w:val="false"/>
                <w:i w:val="false"/>
                <w:sz w:val="20"/>
              </w:rPr>
              <w:t>retention requirements for audit records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3.3.1[f] </w:t>
            </w:r>
            <w:r>
              <w:rPr>
                <w:rFonts w:eastAsia="Calibri" w:cs="Calibri"/>
                <w:b w:val="false"/>
                <w:i w:val="false"/>
                <w:sz w:val="20"/>
              </w:rPr>
              <w:t>audit records are retained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Create and retain system audit logs and records to the extent needed to enable the monitoring, analysis, investigation, and reporting of unlawful or unauthorized system 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AU-2, AU-3, AU-6, AU-11, AU-12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Windows Security, System, Application, Defender Operational, PowerShell Operational, device-control/removable-storage, Entra sign-in/audit, Purview, Exchange/SharePoint, Defender, Intune, Control HUB, and UDM-Pro/UniFi records are enabled. Endpoint records are configured for at least 90 days of local retention and monthly export to restricted GCC High storage for at least 12 months. Available records cover the actual period since baseline activation; the stated periods are configured retention requirements, not a claim of pre-activation history.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Windows audit policy and EVTX samples; Entra/Purview/Exchange/SharePoint/Defender/Intune/UDM/Control HUB logs; retention configuration; archive export and retrieval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3.3.2[a] </w:t>
            </w:r>
            <w:r>
              <w:rPr>
                <w:rFonts w:eastAsia="Calibri" w:cs="Calibri"/>
                <w:b w:val="false"/>
                <w:i w:val="false"/>
                <w:sz w:val="20"/>
              </w:rPr>
              <w:t>the content of the audit records needed to support the ability to uniquely trace users to their actions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3.3.2[b] </w:t>
            </w:r>
            <w:r>
              <w:rPr>
                <w:rFonts w:eastAsia="Calibri" w:cs="Calibri"/>
                <w:b w:val="false"/>
                <w:i w:val="false"/>
                <w:sz w:val="20"/>
              </w:rPr>
              <w:t>audit records, once created, contain the defined content.</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Ensure that the actions of individual system users can be uniquely traced to those users so they can be held accountable for their actions.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AU-2, AU-3, AU-6, AU-11, AU-12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Unique named standard and administrator accounts, device identities, service principals, and process identifiers permit actions to be traced to the responsible individual or process. James Marshall administrative activity is attributable to the individually assigned jmarshall.admin account and is distinguishable from his standard account.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Named standard/admin account inventory; device/service identities; Entra and Windows event samples; jmarshall.admin traceability; user-to-event correlation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3.3.3[a] </w:t>
            </w:r>
            <w:r>
              <w:rPr>
                <w:rFonts w:eastAsia="Calibri" w:cs="Calibri"/>
                <w:b w:val="false"/>
                <w:i w:val="false"/>
                <w:sz w:val="20"/>
              </w:rPr>
              <w:t>a process for determining when to review logged events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3.3.3[b] </w:t>
            </w:r>
            <w:r>
              <w:rPr>
                <w:rFonts w:eastAsia="Calibri" w:cs="Calibri"/>
                <w:b w:val="false"/>
                <w:i w:val="false"/>
                <w:sz w:val="20"/>
              </w:rPr>
              <w:t>event types being logged are reviewed in accordance with the defined review process.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3.3.3[c] </w:t>
            </w:r>
            <w:r>
              <w:rPr>
                <w:rFonts w:eastAsia="Calibri" w:cs="Calibri"/>
                <w:b w:val="false"/>
                <w:i w:val="false"/>
                <w:sz w:val="20"/>
              </w:rPr>
              <w:t>event types being logged are updated based on the review.</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Review and update logged events.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Logged-event selections cover authentication, account and group management, privilege use, process creation, policy changes, file/mailbox access and sharing, endpoint security, device control, logging failures, system integrity, and boundary events. Selections are reviewed at least annually and after significant change or incident.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event-selection standard; Windows Advanced Audit Policy; cloud audit configuration; annual event review record; generate and verify representative events.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3.3.4[a] </w:t>
            </w:r>
            <w:r>
              <w:rPr>
                <w:rFonts w:eastAsia="Calibri" w:cs="Calibri"/>
                <w:b w:val="false"/>
                <w:i w:val="false"/>
                <w:sz w:val="20"/>
              </w:rPr>
              <w:t>personnel or roles to be alerted in the event of an audit logging process failure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3.3.4[b] </w:t>
            </w:r>
            <w:r>
              <w:rPr>
                <w:rFonts w:eastAsia="Calibri" w:cs="Calibri"/>
                <w:b w:val="false"/>
                <w:i w:val="false"/>
                <w:sz w:val="20"/>
              </w:rPr>
              <w:t>types of audit logging process failures for which alert will be generated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3.3.4[c] </w:t>
            </w:r>
            <w:r>
              <w:rPr>
                <w:rFonts w:eastAsia="Calibri" w:cs="Calibri"/>
                <w:b w:val="false"/>
                <w:i w:val="false"/>
                <w:sz w:val="20"/>
              </w:rPr>
              <w:t>identified personnel or roles are alerted in the event of an audit logging process failure.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Alert in the event of an audit logging process failure.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Audit-service shutdown, audit-policy change, log clearing, capacity/overwrite risk, collection/export failure, and cloud audit-service health events generate alerts or monitoring exceptions that require documented corrective action.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Audit-failure monitoring settings; log-capacity/overwrite configuration; service-stop/policy-change events; alert/exception record; controlled logging-failure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3.3.5[a] </w:t>
            </w:r>
            <w:r>
              <w:rPr>
                <w:rFonts w:eastAsia="Calibri" w:cs="Calibri"/>
                <w:b w:val="false"/>
                <w:i w:val="false"/>
                <w:sz w:val="20"/>
              </w:rPr>
              <w:t>audit record review, analysis, and reporting processes for investigation and response to indications of unlawful, unauthorized, suspicious, or unusual activity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3.3.5[b] </w:t>
            </w:r>
            <w:r>
              <w:rPr>
                <w:rFonts w:eastAsia="Calibri" w:cs="Calibri"/>
                <w:b w:val="false"/>
                <w:i w:val="false"/>
                <w:sz w:val="20"/>
              </w:rPr>
              <w:t>defined audit record review, analysis, and reporting processes are correlated.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Correlate audit record review, analysis, and reporting processes for investigation and response to indications of unlawful, unauthorized, suspicious, or unusual 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The Security Officer performs weekly operational review and monthly documented correlation of endpoint, Entra, Purview, Exchange/SharePoint, Defender, Intune, Control HUB, and UDM-Pro records. Patrick Hanner independently reviews privileged-activity and high-risk change evidence at least monthly. Findings are escalated through incident, change, risk, or POA&amp;M processes.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Weekly review checklist; monthly correlation record across endpoint/cloud/boundary logs; investigation ticket; reviewer sign-off; simulated suspicious-activity correlation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3.3.6[a] </w:t>
            </w:r>
            <w:r>
              <w:rPr>
                <w:rFonts w:eastAsia="Calibri" w:cs="Calibri"/>
                <w:b w:val="false"/>
                <w:i w:val="false"/>
                <w:sz w:val="20"/>
              </w:rPr>
              <w:t>an audit record reduction capability that supports on-demand analysis is provided.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3.3.6[b] </w:t>
            </w:r>
            <w:r>
              <w:rPr>
                <w:rFonts w:eastAsia="Calibri" w:cs="Calibri"/>
                <w:b w:val="false"/>
                <w:i w:val="false"/>
                <w:sz w:val="20"/>
              </w:rPr>
              <w:t>a report generation capability that supports on-demand reporting is provided.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audit record reduction and report generation to support on-demand analysis and reporting.</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Purview Audit, Entra logs, Defender Advanced Hunting, Exchange/SharePoint audit, Windows Event Viewer/PowerShell, UDM-Pro reports, and original EVTX exports support filtering, reduction, correlation, and on-demand reporting without altering source records.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Purview/Entra/Defender hunting queries; Windows/UDM exports; saved reports; source-log integrity evidence; on-demand filter, reduction, and report-generation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3.3.7[a] </w:t>
            </w:r>
            <w:r>
              <w:rPr>
                <w:rFonts w:eastAsia="Calibri" w:cs="Calibri"/>
                <w:b w:val="false"/>
                <w:i w:val="false"/>
                <w:sz w:val="20"/>
              </w:rPr>
              <w:t>internal system clocks are used to generate time stamps for audit records.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3.3.7[b] </w:t>
            </w:r>
            <w:r>
              <w:rPr>
                <w:rFonts w:eastAsia="Calibri" w:cs="Calibri"/>
                <w:b w:val="false"/>
                <w:i w:val="false"/>
                <w:sz w:val="20"/>
              </w:rPr>
              <w:t>an authoritative source with which to compare and synchronize internal system clocks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3.3.7[c] </w:t>
            </w:r>
            <w:r>
              <w:rPr>
                <w:rFonts w:eastAsia="Calibri" w:cs="Calibri"/>
                <w:b w:val="false"/>
                <w:i w:val="false"/>
                <w:sz w:val="20"/>
              </w:rPr>
              <w:t>internal system clocks used to generate time stamps for audit records are compared to and synchronized with the specified authoritative time source.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a system capability that compares and synchronizes internal system clocks with an authoritative source to generate time stamps for audit records.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Windows Time Service, Microsoft cloud time, and UDM-Pro NTP configuration synchronize clocks to authoritative sources; offset and time-source status are verified during monitoring.</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Windows Time Service status; Microsoft cloud timestamps; UDM-Pro NTP settings; clock-source/offset review; timestamp comparison test across log sources.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3.3.8[a] </w:t>
            </w:r>
            <w:r>
              <w:rPr>
                <w:rFonts w:eastAsia="Calibri" w:cs="Calibri"/>
                <w:b w:val="false"/>
                <w:i w:val="false"/>
                <w:sz w:val="20"/>
              </w:rPr>
              <w:t>audit information is protected from unauthorized access.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3.3.8[b] </w:t>
            </w:r>
            <w:r>
              <w:rPr>
                <w:rFonts w:eastAsia="Calibri" w:cs="Calibri"/>
                <w:b w:val="false"/>
                <w:i w:val="false"/>
                <w:sz w:val="20"/>
              </w:rPr>
              <w:t>audit information is protected from unauthorized modification.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3.3.8[c] </w:t>
            </w:r>
            <w:r>
              <w:rPr>
                <w:rFonts w:eastAsia="Calibri" w:cs="Calibri"/>
                <w:b w:val="false"/>
                <w:i w:val="false"/>
                <w:sz w:val="20"/>
              </w:rPr>
              <w:t>audit information is protected from unauthorized deletion.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3.3.8[d] </w:t>
            </w:r>
            <w:r>
              <w:rPr>
                <w:rFonts w:eastAsia="Calibri" w:cs="Calibri"/>
                <w:b w:val="false"/>
                <w:i w:val="false"/>
                <w:sz w:val="20"/>
              </w:rPr>
              <w:t>audit logging tools are protected from unauthorized access.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3.3.8[e] </w:t>
            </w:r>
            <w:r>
              <w:rPr>
                <w:rFonts w:eastAsia="Calibri" w:cs="Calibri"/>
                <w:b w:val="false"/>
                <w:i w:val="false"/>
                <w:sz w:val="20"/>
              </w:rPr>
              <w:t>audit logging tools are protected from unauthorized modification.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3.3.8[f] </w:t>
            </w:r>
            <w:r>
              <w:rPr>
                <w:rFonts w:eastAsia="Calibri" w:cs="Calibri"/>
                <w:b w:val="false"/>
                <w:i w:val="false"/>
                <w:sz w:val="20"/>
              </w:rPr>
              <w:t>audit logging tools are protected from unauthorized deletion.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audit information and audit logging tools from unauthorized access, modification, and deletion.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Audit records and tools are protected by restricted security/compliance roles, separate administrator identities, BitLocker, GCC High access controls, Control HUB least privilege, immutable source exports where available, and logging of administrative changes and deletions.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Audit-role assignments; restricted log/archive permissions; BitLocker and GCC High protection; Control HUB least privilege; unauthorized log modification/deletion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3.3.9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3.3.9[a] </w:t>
            </w:r>
            <w:r>
              <w:rPr>
                <w:rFonts w:eastAsia="Calibri" w:cs="Calibri"/>
                <w:b w:val="false"/>
                <w:i w:val="false"/>
                <w:sz w:val="20"/>
              </w:rPr>
              <w:t>a subset of privileged users granted access to manage audit logging functionality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3.3.9[b] </w:t>
            </w:r>
            <w:r>
              <w:rPr>
                <w:rFonts w:eastAsia="Calibri" w:cs="Calibri"/>
                <w:b w:val="false"/>
                <w:i w:val="false"/>
                <w:sz w:val="20"/>
              </w:rPr>
              <w:t>management of audit logging functionality is limited to the defined subset of privileged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management of audit logging functionality to a subset of privileged users.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AU-9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AU.L2-3.3.9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Only named security/compliance administrators may change endpoint, cloud, Control HUB, or UDM audit configuration. Permissions are reviewed quarterly. Patrick Hanner independently reviews Joseph Murray and James Marshall privileged audit-configuration activity; unauthorized changes generate reviewable events and corrective action.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Audit-administration role list; Entra/Intune/Purview/Windows/UDM permissions; quarterly privileged review; Patrick Hanner independent review; unauthorized-change deny test.</w:t>
            </w:r>
          </w:p>
        </w:tc>
      </w:tr>
    </w:tbl>
    <w:p>
      <w:pPr>
        <w:pStyle w:val="AppendixCFamily"/>
        <w:keepNext w:val="true"/>
        <w:spacing w:before="0" w:after="120"/>
        <w:rPr/>
      </w:pPr>
      <w:r>
        <w:br w:type="page"/>
      </w:r>
      <w:r>
        <w:rPr>
          <w:rFonts w:eastAsia="Calibri" w:cs="Calibri"/>
          <w:b/>
          <w:i w:val="false"/>
          <w:color w:val="0B78B9"/>
          <w:sz w:val="25"/>
        </w:rPr>
        <w:t>3.4 Configuration Management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3.4.1[a] </w:t>
            </w:r>
            <w:r>
              <w:rPr>
                <w:rFonts w:eastAsia="Calibri" w:cs="Calibri"/>
                <w:b w:val="false"/>
                <w:i w:val="false"/>
                <w:sz w:val="20"/>
              </w:rPr>
              <w:t>a baseline configuration is established.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3.4.1[b] </w:t>
            </w:r>
            <w:r>
              <w:rPr>
                <w:rFonts w:eastAsia="Calibri" w:cs="Calibri"/>
                <w:b w:val="false"/>
                <w:i w:val="false"/>
                <w:sz w:val="20"/>
              </w:rPr>
              <w:t>the baseline configuration includes hardware, software, firmware, and documentation.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3.4.1[c] </w:t>
            </w:r>
            <w:r>
              <w:rPr>
                <w:rFonts w:eastAsia="Calibri" w:cs="Calibri"/>
                <w:b w:val="false"/>
                <w:i w:val="false"/>
                <w:sz w:val="20"/>
              </w:rPr>
              <w:t>the baseline configuration is maintained (reviewed and updated) throughout the system development life cycle.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3.4.1[d] </w:t>
            </w:r>
            <w:r>
              <w:rPr>
                <w:rFonts w:eastAsia="Calibri" w:cs="Calibri"/>
                <w:b w:val="false"/>
                <w:i w:val="false"/>
                <w:sz w:val="20"/>
              </w:rPr>
              <w:t>a system inventory is established.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3.4.1[e] </w:t>
            </w:r>
            <w:r>
              <w:rPr>
                <w:rFonts w:eastAsia="Calibri" w:cs="Calibri"/>
                <w:b w:val="false"/>
                <w:i w:val="false"/>
                <w:sz w:val="20"/>
              </w:rPr>
              <w:t>the system inventory includes hardware, software, firmware, and documentation.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3.4.1[f] </w:t>
            </w:r>
            <w:r>
              <w:rPr>
                <w:rFonts w:eastAsia="Calibri" w:cs="Calibri"/>
                <w:b w:val="false"/>
                <w:i w:val="false"/>
                <w:sz w:val="20"/>
              </w:rPr>
              <w:t>the inventory is maintained (reviewed and updated) throughout the system development life cycle.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Establish and maintain baseline configurations and inventories of organizational systems (including hardware, software, firmware, and documentation) throughout the respective system development life cycles.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CM-2, CM-6, CM-8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Intune configuration profiles, endpoint build records, tenant settings, and UDM-Pro rules form the approved baseline for the enclave.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VTC-IMS-SSP-916 inventory; VTC-IMS-SSP-992 scope/asset inventory; Intune hardware/software exports; approved endpoint/firewall/BitLocker baselines; inventory reconciliation.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3.4.2[a] </w:t>
            </w:r>
            <w:r>
              <w:rPr>
                <w:rFonts w:eastAsia="Calibri" w:cs="Calibri"/>
                <w:b w:val="false"/>
                <w:i w:val="false"/>
                <w:sz w:val="20"/>
              </w:rPr>
              <w:t>security configuration settings for information technology products employed in the system are established and included in the baseline configuration.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3.4.2[b] </w:t>
            </w:r>
            <w:r>
              <w:rPr>
                <w:rFonts w:eastAsia="Calibri" w:cs="Calibri"/>
                <w:b w:val="false"/>
                <w:i w:val="false"/>
                <w:sz w:val="20"/>
              </w:rPr>
              <w:t>security configuration settings for information technology products employed in the system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Establish and enforce security configuration settings for information technology products employed 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CM-2, CM-6, CM-8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Security settings are defined, implemented, validated, and monitored through Intune, Microsoft portals, Defender, and network configuration.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Intune security baselines; endpoint firewall/antivirus/BitLocker policy exports; UDM-Pro configuration; compliance report; deviation and remediation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3.4.3[a] </w:t>
            </w:r>
            <w:r>
              <w:rPr>
                <w:rFonts w:eastAsia="Calibri" w:cs="Calibri"/>
                <w:b w:val="false"/>
                <w:i w:val="false"/>
                <w:sz w:val="20"/>
              </w:rPr>
              <w:t>changes to the system are tracked.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3.4.3[b] </w:t>
            </w:r>
            <w:r>
              <w:rPr>
                <w:rFonts w:eastAsia="Calibri" w:cs="Calibri"/>
                <w:b w:val="false"/>
                <w:i w:val="false"/>
                <w:sz w:val="20"/>
              </w:rPr>
              <w:t>changes to the system are reviewed.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3.4.3[c] </w:t>
            </w:r>
            <w:r>
              <w:rPr>
                <w:rFonts w:eastAsia="Calibri" w:cs="Calibri"/>
                <w:b w:val="false"/>
                <w:i w:val="false"/>
                <w:sz w:val="20"/>
              </w:rPr>
              <w:t>changes to the system are approved or disapproved.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3.4.3[d] </w:t>
            </w:r>
            <w:r>
              <w:rPr>
                <w:rFonts w:eastAsia="Calibri" w:cs="Calibri"/>
                <w:b w:val="false"/>
                <w:i w:val="false"/>
                <w:sz w:val="20"/>
              </w:rPr>
              <w:t>changes to the system are logged.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Track, review, approve or disapprove, and log changes to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Configuration changes require request, approval, implementation record, audit evidence, and closure validation.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Change request/approval record; implementation evidence; Entra/Intune/UDM audit log; post-change validation and closure; unauthorized/unlogged change detection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3.4.4[a] </w:t>
            </w:r>
            <w:r>
              <w:rPr>
                <w:rFonts w:eastAsia="Calibri" w:cs="Calibri"/>
                <w:b w:val="false"/>
                <w:i w:val="false"/>
                <w:sz w:val="20"/>
              </w:rPr>
              <w:t>the security impact of changes to the system is analyzed prior to implementation.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Analyze the security impact of changes prior to implementation.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Significant changes undergo security-impact, scope, data-flow, rollback, and evidence review before implementation.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Security-impact analysis template and completed change record; affected-control/evidence review; risk decision; preimplementation approval; post-change validation.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3.4.5[a] </w:t>
            </w:r>
            <w:r>
              <w:rPr>
                <w:rFonts w:eastAsia="Calibri" w:cs="Calibri"/>
                <w:b w:val="false"/>
                <w:i w:val="false"/>
                <w:sz w:val="20"/>
              </w:rPr>
              <w:t>physical access restrictions associated with changes to the system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3.4.5[b] </w:t>
            </w:r>
            <w:r>
              <w:rPr>
                <w:rFonts w:eastAsia="Calibri" w:cs="Calibri"/>
                <w:b w:val="false"/>
                <w:i w:val="false"/>
                <w:sz w:val="20"/>
              </w:rPr>
              <w:t>physical access restrictions associated with changes to the system are documented.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3.4.5[c] </w:t>
            </w:r>
            <w:r>
              <w:rPr>
                <w:rFonts w:eastAsia="Calibri" w:cs="Calibri"/>
                <w:b w:val="false"/>
                <w:i w:val="false"/>
                <w:sz w:val="20"/>
              </w:rPr>
              <w:t>physical access restrictions associated with changes to the system are approved.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3.4.5[d] </w:t>
            </w:r>
            <w:r>
              <w:rPr>
                <w:rFonts w:eastAsia="Calibri" w:cs="Calibri"/>
                <w:b w:val="false"/>
                <w:i w:val="false"/>
                <w:sz w:val="20"/>
              </w:rPr>
              <w:t>physical access restrictions associated with changes to the system are enforced.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3.4.5[e] </w:t>
            </w:r>
            <w:r>
              <w:rPr>
                <w:rFonts w:eastAsia="Calibri" w:cs="Calibri"/>
                <w:b w:val="false"/>
                <w:i w:val="false"/>
                <w:sz w:val="20"/>
              </w:rPr>
              <w:t>logical access restrictions associated with changes to the system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3.4.5[f] </w:t>
            </w:r>
            <w:r>
              <w:rPr>
                <w:rFonts w:eastAsia="Calibri" w:cs="Calibri"/>
                <w:b w:val="false"/>
                <w:i w:val="false"/>
                <w:sz w:val="20"/>
              </w:rPr>
              <w:t>logical access restrictions associated with changes to the system are documented.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3.4.5[g] </w:t>
            </w:r>
            <w:r>
              <w:rPr>
                <w:rFonts w:eastAsia="Calibri" w:cs="Calibri"/>
                <w:b w:val="false"/>
                <w:i w:val="false"/>
                <w:sz w:val="20"/>
              </w:rPr>
              <w:t>logical access restrictions associated with changes to the system are approved.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3.4.5[h] </w:t>
            </w:r>
            <w:r>
              <w:rPr>
                <w:rFonts w:eastAsia="Calibri" w:cs="Calibri"/>
                <w:b w:val="false"/>
                <w:i w:val="false"/>
                <w:sz w:val="20"/>
              </w:rPr>
              <w:t>logical access restrictions associated with changes to the system are enforced.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Define, document, approve, and enforce physical and logical access restrictions associated with changes to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Administrative access to configuration is restricted to named roles; physical access to endpoint/network equipment is controlled.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Change-access authorization list; Entra roles and endpoint admin membership; physical access restrictions; change-window approval; unauthorized change attempt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3.4.6[a] </w:t>
            </w:r>
            <w:r>
              <w:rPr>
                <w:rFonts w:eastAsia="Calibri" w:cs="Calibri"/>
                <w:b w:val="false"/>
                <w:i w:val="false"/>
                <w:sz w:val="20"/>
              </w:rPr>
              <w:t>essential system capabilities are defined based on the principle of least functionality.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3.4.6[b] </w:t>
            </w:r>
            <w:r>
              <w:rPr>
                <w:rFonts w:eastAsia="Calibri" w:cs="Calibri"/>
                <w:b w:val="false"/>
                <w:i w:val="false"/>
                <w:sz w:val="20"/>
              </w:rPr>
              <w:t>the system is configured to provide only the defined essential capabilities.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the principle of least functionality by configuring organizational systems to provide only essential capabilities.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Unneeded services, protocols, applications, features, wireless, remote access, and public hosting are disabled or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service/software inventory; Windows optional-feature/service baseline; UDM allowed services; least-functionality review; unnecessary feature disablement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3.4.7[a] </w:t>
            </w:r>
            <w:r>
              <w:rPr>
                <w:rFonts w:eastAsia="Calibri" w:cs="Calibri"/>
                <w:b w:val="false"/>
                <w:i w:val="false"/>
                <w:sz w:val="20"/>
              </w:rPr>
              <w:t>essential programs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3.4.7[b] </w:t>
            </w:r>
            <w:r>
              <w:rPr>
                <w:rFonts w:eastAsia="Calibri" w:cs="Calibri"/>
                <w:b w:val="false"/>
                <w:i w:val="false"/>
                <w:sz w:val="20"/>
              </w:rPr>
              <w:t>the use of nonessential programs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3.4.7[c] </w:t>
            </w:r>
            <w:r>
              <w:rPr>
                <w:rFonts w:eastAsia="Calibri" w:cs="Calibri"/>
                <w:b w:val="false"/>
                <w:i w:val="false"/>
                <w:sz w:val="20"/>
              </w:rPr>
              <w:t>the use of nonessential programs is restricted, disabled, or prevented as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3.4.7[d] </w:t>
            </w:r>
            <w:r>
              <w:rPr>
                <w:rFonts w:eastAsia="Calibri" w:cs="Calibri"/>
                <w:b w:val="false"/>
                <w:i w:val="false"/>
                <w:sz w:val="20"/>
              </w:rPr>
              <w:t>essential functions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3.4.7[e] </w:t>
            </w:r>
            <w:r>
              <w:rPr>
                <w:rFonts w:eastAsia="Calibri" w:cs="Calibri"/>
                <w:b w:val="false"/>
                <w:i w:val="false"/>
                <w:sz w:val="20"/>
              </w:rPr>
              <w:t>the use of nonessential functions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3.4.7[f] </w:t>
            </w:r>
            <w:r>
              <w:rPr>
                <w:rFonts w:eastAsia="Calibri" w:cs="Calibri"/>
                <w:b w:val="false"/>
                <w:i w:val="false"/>
                <w:sz w:val="20"/>
              </w:rPr>
              <w:t>the use of nonessential functions is restricted, disabled, or prevented as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3.4.7[g] </w:t>
            </w:r>
            <w:r>
              <w:rPr>
                <w:rFonts w:eastAsia="Calibri" w:cs="Calibri"/>
                <w:b w:val="false"/>
                <w:i w:val="false"/>
                <w:sz w:val="20"/>
              </w:rPr>
              <w:t>essential ports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3.4.7[h] </w:t>
            </w:r>
            <w:r>
              <w:rPr>
                <w:rFonts w:eastAsia="Calibri" w:cs="Calibri"/>
                <w:b w:val="false"/>
                <w:i w:val="false"/>
                <w:sz w:val="20"/>
              </w:rPr>
              <w:t>the use of nonessential ports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3.4.7[i] </w:t>
            </w:r>
            <w:r>
              <w:rPr>
                <w:rFonts w:eastAsia="Calibri" w:cs="Calibri"/>
                <w:b w:val="false"/>
                <w:i w:val="false"/>
                <w:sz w:val="20"/>
              </w:rPr>
              <w:t>the use of nonessential ports is restricted, disabled, or prevented as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3.4.7[j] </w:t>
            </w:r>
            <w:r>
              <w:rPr>
                <w:rFonts w:eastAsia="Calibri" w:cs="Calibri"/>
                <w:b w:val="false"/>
                <w:i w:val="false"/>
                <w:sz w:val="20"/>
              </w:rPr>
              <w:t>essential protocols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3.4.7[k] </w:t>
            </w:r>
            <w:r>
              <w:rPr>
                <w:rFonts w:eastAsia="Calibri" w:cs="Calibri"/>
                <w:b w:val="false"/>
                <w:i w:val="false"/>
                <w:sz w:val="20"/>
              </w:rPr>
              <w:t>the use of nonessential protocols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3.4.7[l] </w:t>
            </w:r>
            <w:r>
              <w:rPr>
                <w:rFonts w:eastAsia="Calibri" w:cs="Calibri"/>
                <w:b w:val="false"/>
                <w:i w:val="false"/>
                <w:sz w:val="20"/>
              </w:rPr>
              <w:t>the use of nonessential protocols is restricted, disabled, or prevented as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3.4.7[m] </w:t>
            </w:r>
            <w:r>
              <w:rPr>
                <w:rFonts w:eastAsia="Calibri" w:cs="Calibri"/>
                <w:b w:val="false"/>
                <w:i w:val="false"/>
                <w:sz w:val="20"/>
              </w:rPr>
              <w:t>essential services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3.4.7[n] </w:t>
            </w:r>
            <w:r>
              <w:rPr>
                <w:rFonts w:eastAsia="Calibri" w:cs="Calibri"/>
                <w:b w:val="false"/>
                <w:i w:val="false"/>
                <w:sz w:val="20"/>
              </w:rPr>
              <w:t>the use of nonessential services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3.4.7[o] </w:t>
            </w:r>
            <w:r>
              <w:rPr>
                <w:rFonts w:eastAsia="Calibri" w:cs="Calibri"/>
                <w:b w:val="false"/>
                <w:i w:val="false"/>
                <w:sz w:val="20"/>
              </w:rPr>
              <w:t>the use of nonessential services is restricted, disabled, or prevented as defined.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Restrict, disable, or prevent the use of nonessential programs, functions, ports, protocols, and services.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Only approved applications and services may operate; standard users cannot install unapproved software.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Port/protocol/service baseline; Windows Firewall and UDM-Pro rules; blocked legacy/remote services; periodic review; prohibited port/protocol/service connection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3.4.8[a] </w:t>
            </w:r>
            <w:r>
              <w:rPr>
                <w:rFonts w:eastAsia="Calibri" w:cs="Calibri"/>
                <w:b w:val="false"/>
                <w:i w:val="false"/>
                <w:sz w:val="20"/>
              </w:rPr>
              <w:t>a policy specifying whether whitelisting or blacklisting is to be implemented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3.4.8[b] </w:t>
            </w:r>
            <w:r>
              <w:rPr>
                <w:rFonts w:eastAsia="Calibri" w:cs="Calibri"/>
                <w:b w:val="false"/>
                <w:i w:val="false"/>
                <w:sz w:val="20"/>
              </w:rPr>
              <w:t>the software allowed to execute under whitelisting or denied use under blacklisting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3.4.8[c] </w:t>
            </w:r>
            <w:r>
              <w:rPr>
                <w:rFonts w:eastAsia="Calibri" w:cs="Calibri"/>
                <w:b w:val="false"/>
                <w:i w:val="false"/>
                <w:sz w:val="20"/>
              </w:rPr>
              <w:t>whitelisting to allow the execution of authorized software or blacklisting to prevent the use of unauthorized software is implemented as specified.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Apply deny-by-exception (blacklisting) policy to prevent the use of unauthorized software or deny-all, permit-by-exception (whitelisting) policy to allow the execution of authorized software.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applies allow-by-exception network rules and approved-software restrictions; application execution controls are documented and validated.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Authorized-software list; Intune application inventory/control settings; Defender indicators/ASR where used; allowed application launch and unauthorized executable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3.4.9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3.4.9[a] </w:t>
            </w:r>
            <w:r>
              <w:rPr>
                <w:rFonts w:eastAsia="Calibri" w:cs="Calibri"/>
                <w:b w:val="false"/>
                <w:i w:val="false"/>
                <w:sz w:val="20"/>
              </w:rPr>
              <w:t>a policy for controlling the installation of software by users is established.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3.4.9[b] </w:t>
            </w:r>
            <w:r>
              <w:rPr>
                <w:rFonts w:eastAsia="Calibri" w:cs="Calibri"/>
                <w:b w:val="false"/>
                <w:i w:val="false"/>
                <w:sz w:val="20"/>
              </w:rPr>
              <w:t>installation of software by users is controlled based on the established policy.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3.4.9[c] </w:t>
            </w:r>
            <w:r>
              <w:rPr>
                <w:rFonts w:eastAsia="Calibri" w:cs="Calibri"/>
                <w:b w:val="false"/>
                <w:i w:val="false"/>
                <w:sz w:val="20"/>
              </w:rPr>
              <w:t>installation of software by users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and monitor user-installed software.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CM-11</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CM.L2-3.4.9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Installed software is inventoried through Intune/Defender and reviewed; users request software rather than self-install.</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User-installed-software policy; Intune/Defender software inventory; installation permissions; monthly software review; standard-user installation deny/detection test.</w:t>
            </w:r>
          </w:p>
        </w:tc>
      </w:tr>
    </w:tbl>
    <w:p>
      <w:pPr>
        <w:pStyle w:val="AppendixCFamily"/>
        <w:keepNext w:val="true"/>
        <w:spacing w:before="0" w:after="120"/>
        <w:rPr/>
      </w:pPr>
      <w:r>
        <w:br w:type="page"/>
      </w:r>
      <w:r>
        <w:rPr>
          <w:rFonts w:eastAsia="Calibri" w:cs="Calibri"/>
          <w:b/>
          <w:i w:val="false"/>
          <w:color w:val="0B78B9"/>
          <w:sz w:val="25"/>
        </w:rPr>
        <w:t>3.5 Identification and Authentication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3.5.1[a] </w:t>
            </w:r>
            <w:r>
              <w:rPr>
                <w:rFonts w:eastAsia="Calibri" w:cs="Calibri"/>
                <w:b w:val="false"/>
                <w:i w:val="false"/>
                <w:sz w:val="20"/>
              </w:rPr>
              <w:t>system users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3.5.1[b] </w:t>
            </w:r>
            <w:r>
              <w:rPr>
                <w:rFonts w:eastAsia="Calibri" w:cs="Calibri"/>
                <w:b w:val="false"/>
                <w:i w:val="false"/>
                <w:sz w:val="20"/>
              </w:rPr>
              <w:t>processes acting on behalf of users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3.5.1[c] </w:t>
            </w:r>
            <w:r>
              <w:rPr>
                <w:rFonts w:eastAsia="Calibri" w:cs="Calibri"/>
                <w:b w:val="false"/>
                <w:i w:val="false"/>
                <w:sz w:val="20"/>
              </w:rPr>
              <w:t>devices accessing the system are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Identify system users, processes acting on behalf of users, and devices.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IA-2, IA-3, IA-5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identifies users and processes; Intune identifies VTC_CUI_WS1 and authorized devices; service identities have named owners.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user/service-principal export; device inventory and Entra/Intune device records; named-account register; unique user/process/device identification review.</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3.5.2[a] </w:t>
            </w:r>
            <w:r>
              <w:rPr>
                <w:rFonts w:eastAsia="Calibri" w:cs="Calibri"/>
                <w:b w:val="false"/>
                <w:i w:val="false"/>
                <w:sz w:val="20"/>
              </w:rPr>
              <w:t>the identity of each user is authenticated or verified as a prerequisite to system access.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3.5.2[b] </w:t>
            </w:r>
            <w:r>
              <w:rPr>
                <w:rFonts w:eastAsia="Calibri" w:cs="Calibri"/>
                <w:b w:val="false"/>
                <w:i w:val="false"/>
                <w:sz w:val="20"/>
              </w:rPr>
              <w:t>the identity of each process acting on behalf of a user is authenticated or verified as a prerequisite to system access.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3.5.2[c] </w:t>
            </w:r>
            <w:r>
              <w:rPr>
                <w:rFonts w:eastAsia="Calibri" w:cs="Calibri"/>
                <w:b w:val="false"/>
                <w:i w:val="false"/>
                <w:sz w:val="20"/>
              </w:rPr>
              <w:t>the identity of each device accessing or connecting to the system is authenticated or verified as a prerequisite to system access.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Authenticate (or verify) the identities of users, processes, or devices, as a prerequisite to allowing access to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IA-2, IA-3, IA-5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authentication, network MFA, Windows sign-in, TPM-backed local privileged credentials, and compliant-device checks authenticate users and VTC_CUI_WS1 before access.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authentication and CA settings; Windows Hello/FIDO2/TPM evidence; device-compliance identity; approved user/device sign-in test and invalid identity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3.5.3[a] </w:t>
            </w:r>
            <w:r>
              <w:rPr>
                <w:rFonts w:eastAsia="Calibri" w:cs="Calibri"/>
                <w:b w:val="false"/>
                <w:i w:val="false"/>
                <w:sz w:val="20"/>
              </w:rPr>
              <w:t>privileged accounts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3.5.3[b] </w:t>
            </w:r>
            <w:r>
              <w:rPr>
                <w:rFonts w:eastAsia="Calibri" w:cs="Calibri"/>
                <w:b w:val="false"/>
                <w:i w:val="false"/>
                <w:sz w:val="20"/>
              </w:rPr>
              <w:t>multifactor authentication is implemented for local access to privileged accounts.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3.5.3[c] </w:t>
            </w:r>
            <w:r>
              <w:rPr>
                <w:rFonts w:eastAsia="Calibri" w:cs="Calibri"/>
                <w:b w:val="false"/>
                <w:i w:val="false"/>
                <w:sz w:val="20"/>
              </w:rPr>
              <w:t>multifactor authentication is implemented for network access to privileged accounts.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3.5.3[d] </w:t>
            </w:r>
            <w:r>
              <w:rPr>
                <w:rFonts w:eastAsia="Calibri" w:cs="Calibri"/>
                <w:b w:val="false"/>
                <w:i w:val="false"/>
                <w:sz w:val="20"/>
              </w:rPr>
              <w:t>multifactor authentication is implemented for network access to non-privileged accounts.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Use multifactor authentication for local and network access to privileged accounts and for network access to non-privileged accounts.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Entra Conditional Access requires MFA for network access by privileged and non-privileged users. Every account authorized for local privileged access to VTC_CUI_WS1 uses TPM-backed Windows Hello for Business, an approved FIDO2 security key, or an approved smart-card credential. Password-only local privileged interactive logon is prohibited. James Marshall uses the separate jmarshall.admin account for approved User Administrator duties, while his standard account remains non-privileged.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CA/MFA policy and sign-in details; Windows Hello/FIDO2 configuration; TPM status; local Administrators list; separate admin identities; local/network MFA demonstrations.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3.5.4[a] </w:t>
            </w:r>
            <w:r>
              <w:rPr>
                <w:rFonts w:eastAsia="Calibri" w:cs="Calibri"/>
                <w:b w:val="false"/>
                <w:i w:val="false"/>
                <w:sz w:val="20"/>
              </w:rPr>
              <w:t>replay-resistant authentication mechanisms are implemented for network account access to privileged and non-privileged accounts.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replay-resistant authentication mechanisms for network access to privileged and non-privileged accounts.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Modern authentication, TLS, token protections, Windows Hello for Business/FIDO2, and approved MFA methods provide replay resistance; legacy authentication and password-only remote authentication are blocked.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Modern-authentication and legacy-auth block settings; TLS/token evidence; Windows Hello/FIDO2 configuration; replay-resistant sign-in test; legacy/password-only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3.5.5[a] </w:t>
            </w:r>
            <w:r>
              <w:rPr>
                <w:rFonts w:eastAsia="Calibri" w:cs="Calibri"/>
                <w:b w:val="false"/>
                <w:i w:val="false"/>
                <w:sz w:val="20"/>
              </w:rPr>
              <w:t>a period within which identifiers cannot be reused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3.5.5[b] </w:t>
            </w:r>
            <w:r>
              <w:rPr>
                <w:rFonts w:eastAsia="Calibri" w:cs="Calibri"/>
                <w:b w:val="false"/>
                <w:i w:val="false"/>
                <w:sz w:val="20"/>
              </w:rPr>
              <w:t>reuse of identifiers is prevented within the defined period.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Prevent reuse of identifiers for a defined period.</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Identifiers are unique and are not reassigned to another person; disabled/deleted identities remain attributable.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Identifier lifecycle procedure; deleted/disabled account records; Entra audit logs; defined nonreuse period; attempt to recreate a recently retired identifier.</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3.5.6[a] </w:t>
            </w:r>
            <w:r>
              <w:rPr>
                <w:rFonts w:eastAsia="Calibri" w:cs="Calibri"/>
                <w:b w:val="false"/>
                <w:i w:val="false"/>
                <w:sz w:val="20"/>
              </w:rPr>
              <w:t>a period of inactivity after which an identifier is disabled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3.5.6[b] </w:t>
            </w:r>
            <w:r>
              <w:rPr>
                <w:rFonts w:eastAsia="Calibri" w:cs="Calibri"/>
                <w:b w:val="false"/>
                <w:i w:val="false"/>
                <w:sz w:val="20"/>
              </w:rPr>
              <w:t>identifiers are disabled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Disable identifiers after a defined period of inactivity.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Inactive accounts are reviewed quarterly and disabled when no longer justified; exceptions have owners and monitoring.</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Inactivity threshold and account-review procedure; last-sign-in export; inactive-account disablement records; quarterly review; inactive-account sign-in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3.5.7[a] </w:t>
            </w:r>
            <w:r>
              <w:rPr>
                <w:rFonts w:eastAsia="Calibri" w:cs="Calibri"/>
                <w:b w:val="false"/>
                <w:i w:val="false"/>
                <w:sz w:val="20"/>
              </w:rPr>
              <w:t>password complexity requirements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3.5.7[b] </w:t>
            </w:r>
            <w:r>
              <w:rPr>
                <w:rFonts w:eastAsia="Calibri" w:cs="Calibri"/>
                <w:b w:val="false"/>
                <w:i w:val="false"/>
                <w:sz w:val="20"/>
              </w:rPr>
              <w:t>password change of character requirements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3.5.7[c] </w:t>
            </w:r>
            <w:r>
              <w:rPr>
                <w:rFonts w:eastAsia="Calibri" w:cs="Calibri"/>
                <w:b w:val="false"/>
                <w:i w:val="false"/>
                <w:sz w:val="20"/>
              </w:rPr>
              <w:t>minimum password complexity requirements as defined are enforced when new passwords are created.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3.5.7[d] </w:t>
            </w:r>
            <w:r>
              <w:rPr>
                <w:rFonts w:eastAsia="Calibri" w:cs="Calibri"/>
                <w:b w:val="false"/>
                <w:i w:val="false"/>
                <w:sz w:val="20"/>
              </w:rPr>
              <w:t>minimum password change of character requirements as defined are enforced when new passwords are created.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Enforce a minimum password complexity and change of characters when new passwords are created.</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enforces approved password length, banned-password, and authentication requirements; permanent passwords are not shared.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password-protection/complexity settings; banned-password list; temporary-password workflow; weak/new password creation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3.5.8[a] </w:t>
            </w:r>
            <w:r>
              <w:rPr>
                <w:rFonts w:eastAsia="Calibri" w:cs="Calibri"/>
                <w:b w:val="false"/>
                <w:i w:val="false"/>
                <w:sz w:val="20"/>
              </w:rPr>
              <w:t>the number of generations during which a password cannot be reused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3.5.8[b] </w:t>
            </w:r>
            <w:r>
              <w:rPr>
                <w:rFonts w:eastAsia="Calibri" w:cs="Calibri"/>
                <w:b w:val="false"/>
                <w:i w:val="false"/>
                <w:sz w:val="20"/>
              </w:rPr>
              <w:t>reuse of passwords is prohibited during the specified number of generations.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Prohibit password reuse for a specified number of generations.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IA-5(1)</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Password history and Entra password protections prevent reuse according to the approved identity standard.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Password history/reuse settings for applicable accounts; policy export; password-change record; attempt to reuse a prohibited recent password.</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3.5.9[a] </w:t>
            </w:r>
            <w:r>
              <w:rPr>
                <w:rFonts w:eastAsia="Calibri" w:cs="Calibri"/>
                <w:b w:val="false"/>
                <w:i w:val="false"/>
                <w:sz w:val="20"/>
              </w:rPr>
              <w:t>an immediate change to a permanent password is required when a temporary password is used for system logon.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Allow temporary password use for system logons with an immediate change to a permanent password.</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IA-5(1)</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Temporary passwords are issued only after identity verification and must be changed immediately at first use.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Temporary Access Pass/password procedure; issued credential record; first-logon change requirement; temporary credential expiration and immediate-change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3.5.10</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3.5.10[a] </w:t>
            </w:r>
            <w:r>
              <w:rPr>
                <w:rFonts w:eastAsia="Calibri" w:cs="Calibri"/>
                <w:b w:val="false"/>
                <w:i w:val="false"/>
                <w:sz w:val="20"/>
              </w:rPr>
              <w:t>passwords are cryptographically protected in storage.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3.5.10[b] </w:t>
            </w:r>
            <w:r>
              <w:rPr>
                <w:rFonts w:eastAsia="Calibri" w:cs="Calibri"/>
                <w:b w:val="false"/>
                <w:i w:val="false"/>
                <w:sz w:val="20"/>
              </w:rPr>
              <w:t>passwords are cryptographically protected in transit.</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Store and transmit only cryptographically-protected passwords.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IA-5(1)</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Passwords are protected by Entra/Windows cryptographic mechanisms and TLS; clear-text storage or transmission is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Entra/Microsoft password-storage responsibility evidence; TLS settings; local credential protections; no plaintext password storage review; protocol capture/inspection.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3.5.11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3.5.11[a] </w:t>
            </w:r>
            <w:r>
              <w:rPr>
                <w:rFonts w:eastAsia="Calibri" w:cs="Calibri"/>
                <w:b w:val="false"/>
                <w:i w:val="false"/>
                <w:sz w:val="20"/>
              </w:rPr>
              <w:t>authentication information is obscured during the authentication process.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Obscure feedback of authentication information.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IA-6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IA.L2-3.5.11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Authentication interfaces mask secrets and do not reveal password or token details.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Windows/Entra sign-in-screen configuration; masked password/PIN display captures; shoulder-surfing protection review; authentication-feedback demonstration.</w:t>
            </w:r>
          </w:p>
        </w:tc>
      </w:tr>
    </w:tbl>
    <w:p>
      <w:pPr>
        <w:pStyle w:val="AppendixCFamily"/>
        <w:keepNext w:val="true"/>
        <w:spacing w:before="0" w:after="120"/>
        <w:rPr/>
      </w:pPr>
      <w:r>
        <w:br w:type="page"/>
      </w:r>
      <w:r>
        <w:rPr>
          <w:rFonts w:eastAsia="Calibri" w:cs="Calibri"/>
          <w:b/>
          <w:i w:val="false"/>
          <w:color w:val="0B78B9"/>
          <w:sz w:val="25"/>
        </w:rPr>
        <w:t>3.6 Incident Response</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3.6.1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3.6.1[a] </w:t>
            </w:r>
            <w:r>
              <w:rPr>
                <w:rFonts w:eastAsia="Calibri" w:cs="Calibri"/>
                <w:b w:val="false"/>
                <w:i w:val="false"/>
                <w:sz w:val="20"/>
              </w:rPr>
              <w:t>an operational incident-handling capability is established.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3.6.1[b] </w:t>
            </w:r>
            <w:r>
              <w:rPr>
                <w:rFonts w:eastAsia="Calibri" w:cs="Calibri"/>
                <w:b w:val="false"/>
                <w:i w:val="false"/>
                <w:sz w:val="20"/>
              </w:rPr>
              <w:t>the operational incident-handling capability includes preparation.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3.6.1[c] </w:t>
            </w:r>
            <w:r>
              <w:rPr>
                <w:rFonts w:eastAsia="Calibri" w:cs="Calibri"/>
                <w:b w:val="false"/>
                <w:i w:val="false"/>
                <w:sz w:val="20"/>
              </w:rPr>
              <w:t>the operational incident-handling capability includes detection.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3.6.1[d] </w:t>
            </w:r>
            <w:r>
              <w:rPr>
                <w:rFonts w:eastAsia="Calibri" w:cs="Calibri"/>
                <w:b w:val="false"/>
                <w:i w:val="false"/>
                <w:sz w:val="20"/>
              </w:rPr>
              <w:t>the operational incident-handling capability includes analysis.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3.6.1[e] </w:t>
            </w:r>
            <w:r>
              <w:rPr>
                <w:rFonts w:eastAsia="Calibri" w:cs="Calibri"/>
                <w:b w:val="false"/>
                <w:i w:val="false"/>
                <w:sz w:val="20"/>
              </w:rPr>
              <w:t>the operational incident-handling capability includes containment.</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3.6.1[f] </w:t>
            </w:r>
            <w:r>
              <w:rPr>
                <w:rFonts w:eastAsia="Calibri" w:cs="Calibri"/>
                <w:b w:val="false"/>
                <w:i w:val="false"/>
                <w:sz w:val="20"/>
              </w:rPr>
              <w:t>the operational incident-handling capability includes recovery.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3.6.1[g] </w:t>
            </w:r>
            <w:r>
              <w:rPr>
                <w:rFonts w:eastAsia="Calibri" w:cs="Calibri"/>
                <w:b w:val="false"/>
                <w:i w:val="false"/>
                <w:sz w:val="20"/>
              </w:rPr>
              <w:t>the operational incident-handling capability includes user response activities.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Establish an operational incident-handling capability for organizational systems that includes preparation, detection, analysis, containment, recovery, and user response activities.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IR-2, IR-4, IR-5, IR-6, IR-7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IR.L2-3.6.1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The approved incident plan covers preparation, detection, analysis, containment, eradication, recovery, reporting, and user response.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incident-response plan and procedures; contact/escalation list; incident log; evidence-preservation checklist; scenario walkthrough covering preparation through recovery.</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3.6.2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3.6.2[a] </w:t>
            </w:r>
            <w:r>
              <w:rPr>
                <w:rFonts w:eastAsia="Calibri" w:cs="Calibri"/>
                <w:b w:val="false"/>
                <w:i w:val="false"/>
                <w:sz w:val="20"/>
              </w:rPr>
              <w:t>incidents are tracked.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3.6.2[b] </w:t>
            </w:r>
            <w:r>
              <w:rPr>
                <w:rFonts w:eastAsia="Calibri" w:cs="Calibri"/>
                <w:b w:val="false"/>
                <w:i w:val="false"/>
                <w:sz w:val="20"/>
              </w:rPr>
              <w:t>incidents are documented.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3.6.2[c] </w:t>
            </w:r>
            <w:r>
              <w:rPr>
                <w:rFonts w:eastAsia="Calibri" w:cs="Calibri"/>
                <w:b w:val="false"/>
                <w:i w:val="false"/>
                <w:sz w:val="20"/>
              </w:rPr>
              <w:t>authorities to whom incidents are to be reported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3.6.2[d] </w:t>
            </w:r>
            <w:r>
              <w:rPr>
                <w:rFonts w:eastAsia="Calibri" w:cs="Calibri"/>
                <w:b w:val="false"/>
                <w:i w:val="false"/>
                <w:sz w:val="20"/>
              </w:rPr>
              <w:t>organizational officials to whom incidents are to be reported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3.6.2[e] </w:t>
            </w:r>
            <w:r>
              <w:rPr>
                <w:rFonts w:eastAsia="Calibri" w:cs="Calibri"/>
                <w:b w:val="false"/>
                <w:i w:val="false"/>
                <w:sz w:val="20"/>
              </w:rPr>
              <w:t>identified authorities are notified of incidents.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3.6.2[f] </w:t>
            </w:r>
            <w:r>
              <w:rPr>
                <w:rFonts w:eastAsia="Calibri" w:cs="Calibri"/>
                <w:b w:val="false"/>
                <w:i w:val="false"/>
                <w:sz w:val="20"/>
              </w:rPr>
              <w:t>identified organizational officials are notified of incidents.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Track, document, and report incidents to designated officials and/or authorities both internal and external to the organization.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IR-2, IR-4, IR-5, IR-6, IR-7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IR.L2-3.6.2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Incidents are recorded in a case log and reported to designated VTC, customer, insurer, legal, and DoD/DIBNet contacts when required.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Incident reporting procedure; internal/external notification matrix; DIBNet/customer decision record; incident ticket/log; reporting-timeline tabletop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3.6.3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3.6.3[a] </w:t>
            </w:r>
            <w:r>
              <w:rPr>
                <w:rFonts w:eastAsia="Calibri" w:cs="Calibri"/>
                <w:b w:val="false"/>
                <w:i w:val="false"/>
                <w:sz w:val="20"/>
              </w:rPr>
              <w:t>the incident response capability is tested.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Test the organizational incident response capability.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IR-3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IR.L2-3.6.3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conducts and documents an incident-response tabletop or functional exercise at least annually and after major changes.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VTC-IMS-SSP-920 tabletop package; scenario, attendance, injects, observations, after-action report, corrective actions, approvals; annual exercise evidence.</w:t>
            </w:r>
          </w:p>
        </w:tc>
      </w:tr>
    </w:tbl>
    <w:p>
      <w:pPr>
        <w:pStyle w:val="AppendixCFamily"/>
        <w:keepNext w:val="true"/>
        <w:spacing w:before="0" w:after="120"/>
        <w:rPr/>
      </w:pPr>
      <w:r>
        <w:br w:type="page"/>
      </w:r>
      <w:r>
        <w:rPr>
          <w:rFonts w:eastAsia="Calibri" w:cs="Calibri"/>
          <w:b/>
          <w:i w:val="false"/>
          <w:color w:val="0B78B9"/>
          <w:sz w:val="25"/>
        </w:rPr>
        <w:t>3.7 Maintenance</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3.7.1[a] </w:t>
            </w:r>
            <w:r>
              <w:rPr>
                <w:rFonts w:eastAsia="Calibri" w:cs="Calibri"/>
                <w:b w:val="false"/>
                <w:i w:val="false"/>
                <w:sz w:val="20"/>
              </w:rPr>
              <w:t>system maintenance is performed.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Perform maintenance on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MA-2, MA-3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Authorized VTC personnel perform and document local endpoint maintenance and approved nonlocal maintenance through Microsoft GCC High administration services.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Maintenance procedure and log; approved local/cloud maintenance record; administrator audit events; post-maintenance validation; interview with administrator.</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3.7.2[a] </w:t>
            </w:r>
            <w:r>
              <w:rPr>
                <w:rFonts w:eastAsia="Calibri" w:cs="Calibri"/>
                <w:b w:val="false"/>
                <w:i w:val="false"/>
                <w:sz w:val="20"/>
              </w:rPr>
              <w:t>tools used to conduct system maintenance are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3.7.2[b] </w:t>
            </w:r>
            <w:r>
              <w:rPr>
                <w:rFonts w:eastAsia="Calibri" w:cs="Calibri"/>
                <w:b w:val="false"/>
                <w:i w:val="false"/>
                <w:sz w:val="20"/>
              </w:rPr>
              <w:t>techniques used to conduct system maintenance are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3.7.2[c] </w:t>
            </w:r>
            <w:r>
              <w:rPr>
                <w:rFonts w:eastAsia="Calibri" w:cs="Calibri"/>
                <w:b w:val="false"/>
                <w:i w:val="false"/>
                <w:sz w:val="20"/>
              </w:rPr>
              <w:t>mechanisms used to conduct system maintenance are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3.7.2[d] </w:t>
            </w:r>
            <w:r>
              <w:rPr>
                <w:rFonts w:eastAsia="Calibri" w:cs="Calibri"/>
                <w:b w:val="false"/>
                <w:i w:val="false"/>
                <w:sz w:val="20"/>
              </w:rPr>
              <w:t>personnel used to conduct system maintenance are controlled.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controls on the tools, techniques, mechanisms, and personnel used to conduct system maintenance.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MA-2, MA-3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Only approved maintenance tools and named administrator accounts may perform local or Microsoft cloud-based maintenance; tool use and privileged actions are logged and reviewed.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maintenance-tool inventory; named administrator roles; software-control settings; privileged tool-use events; unauthorized tool/personnel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3.7.3[a] </w:t>
            </w:r>
            <w:r>
              <w:rPr>
                <w:rFonts w:eastAsia="Calibri" w:cs="Calibri"/>
                <w:b w:val="false"/>
                <w:i w:val="false"/>
                <w:sz w:val="20"/>
              </w:rPr>
              <w:t>equipment to be removed from organizational spaces for off-site maintenance is sanitized of any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Ensure equipment removed for off-site maintenance is sanitized of any CUI.</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is removed, sanitized, or strongly protected before equipment leaves VTC control for maintenance; return inspection is documented.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Off-site repair/sanitization procedure; chain-of-custody and NIST SP 800-88 record; BitLocker/key handling; simulated removal authorization and verification.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3.7.4[a] </w:t>
            </w:r>
            <w:r>
              <w:rPr>
                <w:rFonts w:eastAsia="Calibri" w:cs="Calibri"/>
                <w:b w:val="false"/>
                <w:i w:val="false"/>
                <w:sz w:val="20"/>
              </w:rPr>
              <w:t>media containing diagnostic and test programs are checked for malicious code before being used in organizational systems that process, store, or transmit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Check media containing diagnostic and test programs for malicious code before the media are used 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Portable diagnostic media is prohibited; any diagnostic software is obtained from a trusted source and scanned before use.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Diagnostic/test media procedure; approved tool source and hash/signature; Defender scan result; media inspection log; malicious test-file detection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3.7.5[a] </w:t>
            </w:r>
            <w:r>
              <w:rPr>
                <w:rFonts w:eastAsia="Calibri" w:cs="Calibri"/>
                <w:b w:val="false"/>
                <w:i w:val="false"/>
                <w:sz w:val="20"/>
              </w:rPr>
              <w:t>multifactor authentication is used to establish nonlocal maintenance sessions via external network connections.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3.7.5[b] </w:t>
            </w:r>
            <w:r>
              <w:rPr>
                <w:rFonts w:eastAsia="Calibri" w:cs="Calibri"/>
                <w:b w:val="false"/>
                <w:i w:val="false"/>
                <w:sz w:val="20"/>
              </w:rPr>
              <w:t>nonlocal maintenance sessions established via external network connections are terminated when nonlocal maintenance is complete.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Require multifactor authentication to establish nonlocal maintenance sessions via external network connections and terminate such connections when nonlocal maintenance is complete.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Nonlocal maintenance through Entra, Intune, Defender, Purview, Exchange, SharePoint, and other approved Microsoft administrative services requires a separately assigned administrator identity, MFA, and compliant VTC_CUI_WS1. James Marshall uses jmarshall.admin only for approved User Administrator maintenance. Sessions are closed or revoked when work is complete and related privileged events are reviewed. RDP, Quick Assist/Remote Help, unattended support, and third-party remote-control paths are blocked.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Separate admin identities including jmarshall.admin; MFA/CA and compliant-device evidence; approved maintenance session; termination/revocation record; remote-control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3.7.6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3.7.6[a] </w:t>
            </w:r>
            <w:r>
              <w:rPr>
                <w:rFonts w:eastAsia="Calibri" w:cs="Calibri"/>
                <w:b w:val="false"/>
                <w:i w:val="false"/>
                <w:sz w:val="20"/>
              </w:rPr>
              <w:t>maintenance personnel without required access authorization are supervised during maintenance activities.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Supervise the maintenance activities of maintenance personnel without required access authorization.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MA.L2-3.7.6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Unauthorized maintenance personnel are not permitted unescorted access; any external technician is supervised and receives only minimum necessary access.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Maintenance personnel authorization list; escort/supervision procedure; visitor/maintenance log; temporary access restrictions; supervised maintenance scenario.</w:t>
            </w:r>
          </w:p>
        </w:tc>
      </w:tr>
    </w:tbl>
    <w:p>
      <w:pPr>
        <w:pStyle w:val="AppendixCFamily"/>
        <w:keepNext w:val="true"/>
        <w:spacing w:before="0" w:after="120"/>
        <w:rPr/>
      </w:pPr>
      <w:r>
        <w:br w:type="page"/>
      </w:r>
      <w:r>
        <w:rPr>
          <w:rFonts w:eastAsia="Calibri" w:cs="Calibri"/>
          <w:b/>
          <w:i w:val="false"/>
          <w:color w:val="0B78B9"/>
          <w:sz w:val="25"/>
        </w:rPr>
        <w:t>3.8 Media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3.8.1[a] </w:t>
            </w:r>
            <w:r>
              <w:rPr>
                <w:rFonts w:eastAsia="Calibri" w:cs="Calibri"/>
                <w:b w:val="false"/>
                <w:i w:val="false"/>
                <w:sz w:val="20"/>
              </w:rPr>
              <w:t>paper media containing CUI is physically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3.8.1[b] </w:t>
            </w:r>
            <w:r>
              <w:rPr>
                <w:rFonts w:eastAsia="Calibri" w:cs="Calibri"/>
                <w:b w:val="false"/>
                <w:i w:val="false"/>
                <w:sz w:val="20"/>
              </w:rPr>
              <w:t>digital media containing CUI is physically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3.8.1[c] </w:t>
            </w:r>
            <w:r>
              <w:rPr>
                <w:rFonts w:eastAsia="Calibri" w:cs="Calibri"/>
                <w:b w:val="false"/>
                <w:i w:val="false"/>
                <w:sz w:val="20"/>
              </w:rPr>
              <w:t>paper media containing CUI is securely stored.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3.8.1[d] </w:t>
            </w:r>
            <w:r>
              <w:rPr>
                <w:rFonts w:eastAsia="Calibri" w:cs="Calibri"/>
                <w:b w:val="false"/>
                <w:i w:val="false"/>
                <w:sz w:val="20"/>
              </w:rPr>
              <w:t>digital media containing CUI is securely stored.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(i.e., physically control and securely store) system media containing CUI, both paper and digital.</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MP-2, MP-4, MP-6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media is protected in the designated GCC High Exchange mailbox, SharePoint CUI site, and on BitLocker-protected VTC_CUI_WS1. Physical and removable media are prohibited or minimized.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Exchange/SharePoint storage permissions; VTC_CUI_WS1 BitLocker evidence; physical storage controls; media inventory; unauthorized physical/digital access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3.8.2[a] </w:t>
            </w:r>
            <w:r>
              <w:rPr>
                <w:rFonts w:eastAsia="Calibri" w:cs="Calibri"/>
                <w:b w:val="false"/>
                <w:i w:val="false"/>
                <w:sz w:val="20"/>
              </w:rPr>
              <w:t>access to CUI on system media is limited to authorized users.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access to CUI on system media to authorized users.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MP-2, MP-4, MP-6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Media access is limited through Entra, Exchange/SharePoint permissions, Conditional Access, the sole compliant device requirement, locked storage, and quarterly review.</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Media access matrix; Exchange/SharePoint permissions; CA compliant-device restriction; locked storage evidence; quarterly access review and denied-user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3.8.3[a] </w:t>
            </w:r>
            <w:r>
              <w:rPr>
                <w:rFonts w:eastAsia="Calibri" w:cs="Calibri"/>
                <w:b w:val="false"/>
                <w:i w:val="false"/>
                <w:sz w:val="20"/>
              </w:rPr>
              <w:t>system media containing CUI is sanitized or destroyed before disposal.</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3.8.3[b] </w:t>
            </w:r>
            <w:r>
              <w:rPr>
                <w:rFonts w:eastAsia="Calibri" w:cs="Calibri"/>
                <w:b w:val="false"/>
                <w:i w:val="false"/>
                <w:sz w:val="20"/>
              </w:rPr>
              <w:t>system media containing CUI is sanitized before it is released for reuse.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Sanitize or destroy system media containing CUI before disposal or release for reuse.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MP-2, MP-4, MP-6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Media is sanitized or destroyed before disposal/reuse using NIST SP 800-88 methods and documented certificates/logs.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Media sanitization/destruction procedure; NIST SP 800-88 method; disposal certificate/log; BitLocker key destruction where applicable; release-for-reuse validation.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3.8.4[a] </w:t>
            </w:r>
            <w:r>
              <w:rPr>
                <w:rFonts w:eastAsia="Calibri" w:cs="Calibri"/>
                <w:b w:val="false"/>
                <w:i w:val="false"/>
                <w:sz w:val="20"/>
              </w:rPr>
              <w:t>media containing CUI is marked with applicable CUI markings.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3.8.4[b] </w:t>
            </w:r>
            <w:r>
              <w:rPr>
                <w:rFonts w:eastAsia="Calibri" w:cs="Calibri"/>
                <w:b w:val="false"/>
                <w:i w:val="false"/>
                <w:sz w:val="20"/>
              </w:rPr>
              <w:t>media containing CUI is marked with distribution limitations.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Mark media with necessary CUI markings and distribution limitations.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files, documents, and approved media are marked according to source, contract, CUI Registry, and dissemination requirements.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CUI marking procedure; approved header/footer/banner examples; Exchange/SharePoint document sample; distribution-limitation review; marking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3.8.5[a] </w:t>
            </w:r>
            <w:r>
              <w:rPr>
                <w:rFonts w:eastAsia="Calibri" w:cs="Calibri"/>
                <w:b w:val="false"/>
                <w:i w:val="false"/>
                <w:sz w:val="20"/>
              </w:rPr>
              <w:t>access to media containing CUI is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3.8.5[b] </w:t>
            </w:r>
            <w:r>
              <w:rPr>
                <w:rFonts w:eastAsia="Calibri" w:cs="Calibri"/>
                <w:b w:val="false"/>
                <w:i w:val="false"/>
                <w:sz w:val="20"/>
              </w:rPr>
              <w:t>accountability for media containing CUI is maintained during transport outside of controlled areas.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access to media containing CUI and maintain accountability for media during transport outside of controlled areas.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VTC does not authorize physical transport of CUI media outside controlled areas. The approved CUI workflow uses GCC High Exchange/SharePoint and the dedicated endpoint; no transportable CUI media is inventoried.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policy prohibiting physical CUI media transport; media inventory; no-transport workflow/data-flow diagram; assessor confirmation.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3.8.6[a] </w:t>
            </w:r>
            <w:r>
              <w:rPr>
                <w:rFonts w:eastAsia="Calibri" w:cs="Calibri"/>
                <w:b w:val="false"/>
                <w:i w:val="false"/>
                <w:sz w:val="20"/>
              </w:rPr>
              <w:t>the confidentiality of CUI stored on digital media is protected during transport using cryptographic mechanisms or alternative physical safeguards.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Implement cryptographic mechanisms to protect the confidentiality of CUI stored on digital media during transport unless otherwise protected by alternative physical safeguards.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no digital CUI media is authorized for transport. Removable and portable storage are prohibited and blocked, so no transported digital CUI media exists for this requirement.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portable-media transport prohibition; removable-media/device-control settings; media inventory; USB transport deny test; assessor confirmation.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3.8.7[a] </w:t>
            </w:r>
            <w:r>
              <w:rPr>
                <w:rFonts w:eastAsia="Calibri" w:cs="Calibri"/>
                <w:b w:val="false"/>
                <w:i w:val="false"/>
                <w:sz w:val="20"/>
              </w:rPr>
              <w:t>the use of removable media on system components is controlled.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the use of removable media on system components.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Removable media is prohibited and technically restricted/monitored on the managed endpoint; exceptions require formal authorization.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Removable-media policy; Intune/Defender device-control configuration; removable-storage events; authorized-exception register; USB insertion/read/write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3.8.8[a] </w:t>
            </w:r>
            <w:r>
              <w:rPr>
                <w:rFonts w:eastAsia="Calibri" w:cs="Calibri"/>
                <w:b w:val="false"/>
                <w:i w:val="false"/>
                <w:sz w:val="20"/>
              </w:rPr>
              <w:t>the use of portable storage devices is prohibited when such devices have no identifiable owner.</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Prohibit the use of portable storage devices when such devices have no identifiable owner.</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MP-7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Portable storage without an identifiable owner is prohibited and never connected; any authorized device is inventoried and assigned.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Portable-storage ownership/inventory policy; device-control settings; no authorized portable media list; unidentified USB insertion deny and logging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3.8.9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3.8.9[a] </w:t>
            </w:r>
            <w:r>
              <w:rPr>
                <w:rFonts w:eastAsia="Calibri" w:cs="Calibri"/>
                <w:b w:val="false"/>
                <w:i w:val="false"/>
                <w:sz w:val="20"/>
              </w:rPr>
              <w:t>the confidentiality of backup CUI is protected at storage locations.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the confidentiality of backup CUI at storage locations.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CP-9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MP.L2-3.8.9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No standalone contractor-managed CUI backup export is authorized. Any future backup must be encrypted, access-controlled, in scope, and supported by an approved provider responsibility matrix.</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Backup/data-resiliency procedure; Microsoft provider responsibility evidence; restricted backup/archive permissions; encryption and restore/access test; backup inventory.</w:t>
            </w:r>
          </w:p>
        </w:tc>
      </w:tr>
    </w:tbl>
    <w:p>
      <w:pPr>
        <w:pStyle w:val="AppendixCFamily"/>
        <w:keepNext w:val="true"/>
        <w:spacing w:before="0" w:after="120"/>
        <w:rPr/>
      </w:pPr>
      <w:r>
        <w:br w:type="page"/>
      </w:r>
      <w:r>
        <w:rPr>
          <w:rFonts w:eastAsia="Calibri" w:cs="Calibri"/>
          <w:b/>
          <w:i w:val="false"/>
          <w:color w:val="0B78B9"/>
          <w:sz w:val="25"/>
        </w:rPr>
        <w:t>3.9 Personnel Security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3.9.1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3.9.1[a] </w:t>
            </w:r>
            <w:r>
              <w:rPr>
                <w:rFonts w:eastAsia="Calibri" w:cs="Calibri"/>
                <w:b w:val="false"/>
                <w:i w:val="false"/>
                <w:sz w:val="20"/>
              </w:rPr>
              <w:t>individuals are screened prior to authorizing access to organizational systems containing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Screen individuals prior to authorizing access to organizational systems containing CUI.</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PS-3, PS-4, PS-5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PS.L2-3.9.1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Management screens and approves individuals before CUI access; restricted HR evidence or an attestation proves eligibility.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VTC-IMS-SSP-917 screening/training eligibility matrix; restricted background-check completion evidence; access approval; sample pre-access verification.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3.9.2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3.9.2[a] </w:t>
            </w:r>
            <w:r>
              <w:rPr>
                <w:rFonts w:eastAsia="Calibri" w:cs="Calibri"/>
                <w:b w:val="false"/>
                <w:i w:val="false"/>
                <w:sz w:val="20"/>
              </w:rPr>
              <w:t>a policy and/or process for terminating system access and any credentials coincident with personnel actions is established.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3.9.2[b] </w:t>
            </w:r>
            <w:r>
              <w:rPr>
                <w:rFonts w:eastAsia="Calibri" w:cs="Calibri"/>
                <w:b w:val="false"/>
                <w:i w:val="false"/>
                <w:sz w:val="20"/>
              </w:rPr>
              <w:t>system access and credentials are terminated consistent with personnel actions such as termination or transfer.</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3.9.2[c] </w:t>
            </w:r>
            <w:r>
              <w:rPr>
                <w:rFonts w:eastAsia="Calibri" w:cs="Calibri"/>
                <w:b w:val="false"/>
                <w:i w:val="false"/>
                <w:sz w:val="20"/>
              </w:rPr>
              <w:t>the system is protected during and after personnel transfer actions.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Ensure that organizational systems containing CUI are protected during and after personnel actions such as terminations and transfers.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PS-3, PS-4, PS-5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PS.L2-3.9.2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Personnel changes trigger immediate account/session/role removal, key/device recovery, record transfer, and post-action verification.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Personnel action/termination checklist; HR notification; account disablement and group removal logs; device/key return; termination/transfer access revocation test.</w:t>
            </w:r>
          </w:p>
        </w:tc>
      </w:tr>
    </w:tbl>
    <w:p>
      <w:pPr>
        <w:pStyle w:val="AppendixCFamily"/>
        <w:keepNext w:val="true"/>
        <w:spacing w:before="0" w:after="120"/>
        <w:rPr/>
      </w:pPr>
      <w:r>
        <w:br w:type="page"/>
      </w:r>
      <w:r>
        <w:rPr>
          <w:rFonts w:eastAsia="Calibri" w:cs="Calibri"/>
          <w:b/>
          <w:i w:val="false"/>
          <w:color w:val="0B78B9"/>
          <w:sz w:val="25"/>
        </w:rPr>
        <w:t>3.10 Physical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3.10.1[a] </w:t>
            </w:r>
            <w:r>
              <w:rPr>
                <w:rFonts w:eastAsia="Calibri" w:cs="Calibri"/>
                <w:b w:val="false"/>
                <w:i w:val="false"/>
                <w:sz w:val="20"/>
              </w:rPr>
              <w:t>authorized individuals allowed physical access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3.10.1[b] </w:t>
            </w:r>
            <w:r>
              <w:rPr>
                <w:rFonts w:eastAsia="Calibri" w:cs="Calibri"/>
                <w:b w:val="false"/>
                <w:i w:val="false"/>
                <w:sz w:val="20"/>
              </w:rPr>
              <w:t>physical access to organizational systems is limited to authorized individuals.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3.10.1[c] </w:t>
            </w:r>
            <w:r>
              <w:rPr>
                <w:rFonts w:eastAsia="Calibri" w:cs="Calibri"/>
                <w:b w:val="false"/>
                <w:i w:val="false"/>
                <w:sz w:val="20"/>
              </w:rPr>
              <w:t>physical access to equipment is limited to authorized individuals.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3.10.1[d] </w:t>
            </w:r>
            <w:r>
              <w:rPr>
                <w:rFonts w:eastAsia="Calibri" w:cs="Calibri"/>
                <w:b w:val="false"/>
                <w:i w:val="false"/>
                <w:sz w:val="20"/>
              </w:rPr>
              <w:t>physical access to operating environments is limited to authorized individuals.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Limit physical access to organizational systems, equipment, and the respective operating environments to authorized individuals.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PE-2, PE-4, PE-5, PE-6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The controlled office, VTC_CUI_WS1, and UDM-Pro/UniFi equipment are limited to authorized physical access.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Authorized physical-access list; office/facility diagram; lock/key records; VTC_CUI_WS1 location; unauthorized entry prevention and workstation-lock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3.10.2[a] </w:t>
            </w:r>
            <w:r>
              <w:rPr>
                <w:rFonts w:eastAsia="Calibri" w:cs="Calibri"/>
                <w:b w:val="false"/>
                <w:i w:val="false"/>
                <w:sz w:val="20"/>
              </w:rPr>
              <w:t>the physical facility where organizational systems reside is protected.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3.10.2[b] </w:t>
            </w:r>
            <w:r>
              <w:rPr>
                <w:rFonts w:eastAsia="Calibri" w:cs="Calibri"/>
                <w:b w:val="false"/>
                <w:i w:val="false"/>
                <w:sz w:val="20"/>
              </w:rPr>
              <w:t>the support infrastructure for organizational systems is protected.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3.10.2[c] </w:t>
            </w:r>
            <w:r>
              <w:rPr>
                <w:rFonts w:eastAsia="Calibri" w:cs="Calibri"/>
                <w:b w:val="false"/>
                <w:i w:val="false"/>
                <w:sz w:val="20"/>
              </w:rPr>
              <w:t>the physical facility where organizational systems reside is monitored.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3.10.2[d] </w:t>
            </w:r>
            <w:r>
              <w:rPr>
                <w:rFonts w:eastAsia="Calibri" w:cs="Calibri"/>
                <w:b w:val="false"/>
                <w:i w:val="false"/>
                <w:sz w:val="20"/>
              </w:rPr>
              <w:t>the support infrastructure for organizational systems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and monitor the physical facility and support infrastructure for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PE-2, PE-4, PE-5, PE-6</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Locks, controlled workspace, equipment placement, visitor procedures, and annual inspection protect the facility and supporting infrastructure.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Facility protection checklist; door/lock and network-equipment safeguards; periodic physical review; after-hours inspection and tamper-observation record.</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3.10.3[a] </w:t>
            </w:r>
            <w:r>
              <w:rPr>
                <w:rFonts w:eastAsia="Calibri" w:cs="Calibri"/>
                <w:b w:val="false"/>
                <w:i w:val="false"/>
                <w:sz w:val="20"/>
              </w:rPr>
              <w:t>visitors are escorted.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3.10.3[b] </w:t>
            </w:r>
            <w:r>
              <w:rPr>
                <w:rFonts w:eastAsia="Calibri" w:cs="Calibri"/>
                <w:b w:val="false"/>
                <w:i w:val="false"/>
                <w:sz w:val="20"/>
              </w:rPr>
              <w:t>visitor activity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Escort visitors and monitor visitor 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Visitors are approved, logged, escorted, monitored, and denied access to CUI and systems.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Visitor policy/log; escort assignment; visitor badge/identification record; escort interview; controlled-area visitor scenario.</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3.10.4[a] </w:t>
            </w:r>
            <w:r>
              <w:rPr>
                <w:rFonts w:eastAsia="Calibri" w:cs="Calibri"/>
                <w:b w:val="false"/>
                <w:i w:val="false"/>
                <w:sz w:val="20"/>
              </w:rPr>
              <w:t>audit logs of physical access are maintained.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Maintain audit logs of physical access.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Visitor and physical access records are retained and reviewed; building/access records are used when available.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Physical-access/visitor logs; key issuance records; review cadence and retention; sample entry reconciliation with authorized-access list.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3.10.5[a] </w:t>
            </w:r>
            <w:r>
              <w:rPr>
                <w:rFonts w:eastAsia="Calibri" w:cs="Calibri"/>
                <w:b w:val="false"/>
                <w:i w:val="false"/>
                <w:sz w:val="20"/>
              </w:rPr>
              <w:t>physical access devices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3.10.5[b] </w:t>
            </w:r>
            <w:r>
              <w:rPr>
                <w:rFonts w:eastAsia="Calibri" w:cs="Calibri"/>
                <w:b w:val="false"/>
                <w:i w:val="false"/>
                <w:sz w:val="20"/>
              </w:rPr>
              <w:t>physical access devices are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3.10.5[c] </w:t>
            </w:r>
            <w:r>
              <w:rPr>
                <w:rFonts w:eastAsia="Calibri" w:cs="Calibri"/>
                <w:b w:val="false"/>
                <w:i w:val="false"/>
                <w:sz w:val="20"/>
              </w:rPr>
              <w:t>physical access devices are managed.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and manage physical access devices.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Keys and access devices are inventoried, assigned, recovered, reconciled, and replaced/mitigated when lost.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Key/access-device inventory; issue/return records; lost-key response; periodic inventory; unauthorized or terminated holder reconciliation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3.10.6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3.10.6[a] </w:t>
            </w:r>
            <w:r>
              <w:rPr>
                <w:rFonts w:eastAsia="Calibri" w:cs="Calibri"/>
                <w:b w:val="false"/>
                <w:i w:val="false"/>
                <w:sz w:val="20"/>
              </w:rPr>
              <w:t>safeguarding measures for CUI are defined for alternate work sites.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3.10.6[b] </w:t>
            </w:r>
            <w:r>
              <w:rPr>
                <w:rFonts w:eastAsia="Calibri" w:cs="Calibri"/>
                <w:b w:val="false"/>
                <w:i w:val="false"/>
                <w:sz w:val="20"/>
              </w:rPr>
              <w:t>safeguarding measures for CUI are enforced for alternate work sites.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Enforce safeguarding measures for CUI at alternate work sites.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PE-17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PE.L2-3.10.6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VTC authorizes no alternate work site for CUI. CUI access is limited to VTC_CUI_WS1 at the controlled office through device, identity, and network restrictions.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policy prohibiting CUI at alternate work sites; scope/data-flow diagram; CA/device/network restrictions; off-site access deny test; assessor confirmation.</w:t>
            </w:r>
          </w:p>
        </w:tc>
      </w:tr>
    </w:tbl>
    <w:p>
      <w:pPr>
        <w:pStyle w:val="AppendixCFamily"/>
        <w:keepNext w:val="true"/>
        <w:spacing w:before="0" w:after="120"/>
        <w:rPr/>
      </w:pPr>
      <w:r>
        <w:br w:type="page"/>
      </w:r>
      <w:r>
        <w:rPr>
          <w:rFonts w:eastAsia="Calibri" w:cs="Calibri"/>
          <w:b/>
          <w:i w:val="false"/>
          <w:color w:val="0B78B9"/>
          <w:sz w:val="25"/>
        </w:rPr>
        <w:t>3.11 Risk Assessment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3.11.1[a] </w:t>
            </w:r>
            <w:r>
              <w:rPr>
                <w:rFonts w:eastAsia="Calibri" w:cs="Calibri"/>
                <w:b w:val="false"/>
                <w:i w:val="false"/>
                <w:sz w:val="20"/>
              </w:rPr>
              <w:t>the frequency to assess risk to organizational operations, organizational assets, and individuals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3.11.1[b] </w:t>
            </w:r>
            <w:r>
              <w:rPr>
                <w:rFonts w:eastAsia="Calibri" w:cs="Calibri"/>
                <w:b w:val="false"/>
                <w:i w:val="false"/>
                <w:sz w:val="20"/>
              </w:rPr>
              <w:t>risk to organizational operations, organizational assets, and individuals resulting from the operation of an organizational system that processes, stores, or transmits CUI is assessed with the defined frequency.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Periodically assess the risk to organizational operations (including mission, functions, image, or reputation), organizational assets, and individuals, resulting from the operation of organizational systems and the associated processing, storage, or transmission of CUI.</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RA-3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RA.L2-3.11.1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performs an annual and change-driven risk assessment covering threats, vulnerabilities, likelihood, impact, assets, ESPs, and treatment.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VTC-IMS-SSP-919 annual risk assessment; risk register; asset/ESP/threat/vulnerability analysis; management approval; change-driven reassessment record.</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3.11.2[a] </w:t>
            </w:r>
            <w:r>
              <w:rPr>
                <w:rFonts w:eastAsia="Calibri" w:cs="Calibri"/>
                <w:b w:val="false"/>
                <w:i w:val="false"/>
                <w:sz w:val="20"/>
              </w:rPr>
              <w:t>the frequency to scan for vulnerabilities in organizational systems and applications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3.11.2[b] </w:t>
            </w:r>
            <w:r>
              <w:rPr>
                <w:rFonts w:eastAsia="Calibri" w:cs="Calibri"/>
                <w:b w:val="false"/>
                <w:i w:val="false"/>
                <w:sz w:val="20"/>
              </w:rPr>
              <w:t>vulnerability scans are performed on organizational systems with the defined frequency.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3.11.2[c] </w:t>
            </w:r>
            <w:r>
              <w:rPr>
                <w:rFonts w:eastAsia="Calibri" w:cs="Calibri"/>
                <w:b w:val="false"/>
                <w:i w:val="false"/>
                <w:sz w:val="20"/>
              </w:rPr>
              <w:t>vulnerability scans are performed on applications with the defined frequency.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3.11.2[d] </w:t>
            </w:r>
            <w:r>
              <w:rPr>
                <w:rFonts w:eastAsia="Calibri" w:cs="Calibri"/>
                <w:b w:val="false"/>
                <w:i w:val="false"/>
                <w:sz w:val="20"/>
              </w:rPr>
              <w:t>vulnerability scans are performed on organizational systems when new vulnerabilities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3.11.2[e] </w:t>
            </w:r>
            <w:r>
              <w:rPr>
                <w:rFonts w:eastAsia="Calibri" w:cs="Calibri"/>
                <w:b w:val="false"/>
                <w:i w:val="false"/>
                <w:sz w:val="20"/>
              </w:rPr>
              <w:t>vulnerability scans are performed on applications when new vulnerabilities are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Scan for vulnerabilities in organizational systems and applications periodically and when new vulnerabilities affecting those systems and applications are identified.</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RA-5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RA.L2-3.11.2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Defender, Intune, vendor, and CISA data support continuous and monthly vulnerability review; findings are prioritized and tracked.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Defender vulnerability/exposure reports; Intune/Windows update status; CISA/vendor advisory review; scan schedule; new-vulnerability-triggered scan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3.11.3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3.11.3[a] </w:t>
            </w:r>
            <w:r>
              <w:rPr>
                <w:rFonts w:eastAsia="Calibri" w:cs="Calibri"/>
                <w:b w:val="false"/>
                <w:i w:val="false"/>
                <w:sz w:val="20"/>
              </w:rPr>
              <w:t>vulnerabilities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3.11.3[b] </w:t>
            </w:r>
            <w:r>
              <w:rPr>
                <w:rFonts w:eastAsia="Calibri" w:cs="Calibri"/>
                <w:b w:val="false"/>
                <w:i w:val="false"/>
                <w:sz w:val="20"/>
              </w:rPr>
              <w:t>vulnerabilities are remediated in accordance with risk assessments.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Remediate vulnerabilities in accordance with risk assessments.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RA-5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RA.L2-3.11.3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Vulnerabilities are remediated under risk-based timelines or documented with time-bound approved risk treatment and compensating controls.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Risk-ranked remediation tickets/POA&amp;M; owner and due date; patch/configuration evidence; exception acceptance; rescanning/retest and closure approval.</w:t>
            </w:r>
          </w:p>
        </w:tc>
      </w:tr>
    </w:tbl>
    <w:p>
      <w:pPr>
        <w:pStyle w:val="AppendixCFamily"/>
        <w:keepNext w:val="true"/>
        <w:spacing w:before="0" w:after="120"/>
        <w:rPr/>
      </w:pPr>
      <w:r>
        <w:br w:type="page"/>
      </w:r>
      <w:r>
        <w:rPr>
          <w:rFonts w:eastAsia="Calibri" w:cs="Calibri"/>
          <w:b/>
          <w:i w:val="false"/>
          <w:color w:val="0B78B9"/>
          <w:sz w:val="25"/>
        </w:rPr>
        <w:t>3.12 Security Assessment</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3.12.1[a] </w:t>
            </w:r>
            <w:r>
              <w:rPr>
                <w:rFonts w:eastAsia="Calibri" w:cs="Calibri"/>
                <w:b w:val="false"/>
                <w:i w:val="false"/>
                <w:sz w:val="20"/>
              </w:rPr>
              <w:t>the frequency of security control assessments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3.12.1[b] </w:t>
            </w:r>
            <w:r>
              <w:rPr>
                <w:rFonts w:eastAsia="Calibri" w:cs="Calibri"/>
                <w:b w:val="false"/>
                <w:i w:val="false"/>
                <w:sz w:val="20"/>
              </w:rPr>
              <w:t>security controls are assessed with the defined frequency to determine if the controls are effective in their application.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Periodically assess the security controls in organizational systems to determine if the controls are effective in their application.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CA-2, CA-5, CA-7, PL-2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CA.L2-3.12.1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All 110 requirements are assessed at objective level using examine, interview, and test evidence at least annually and after significant change.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Objective-level self-assessment worksheet; VTC-IMS-SSP-991; evidence samples; independent compliance-review record; examine/interview/test results and findings.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3.12.2[a] </w:t>
            </w:r>
            <w:r>
              <w:rPr>
                <w:rFonts w:eastAsia="Calibri" w:cs="Calibri"/>
                <w:b w:val="false"/>
                <w:i w:val="false"/>
                <w:sz w:val="20"/>
              </w:rPr>
              <w:t>deficiencies and vulnerabilities to be addressed by the plan of action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3.12.2[b] </w:t>
            </w:r>
            <w:r>
              <w:rPr>
                <w:rFonts w:eastAsia="Calibri" w:cs="Calibri"/>
                <w:b w:val="false"/>
                <w:i w:val="false"/>
                <w:sz w:val="20"/>
              </w:rPr>
              <w:t>a plan of action is developed to correct identified deficiencies and reduce or eliminate identified vulnerabilities.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3.12.2[c] </w:t>
            </w:r>
            <w:r>
              <w:rPr>
                <w:rFonts w:eastAsia="Calibri" w:cs="Calibri"/>
                <w:b w:val="false"/>
                <w:i w:val="false"/>
                <w:sz w:val="20"/>
              </w:rPr>
              <w:t>the plan of action is implemented to correct identified deficiencies and reduce or eliminate identified vulnerabilities.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Develop and implement plans of action designed to correct deficiencies and reduce or eliminate vulnerabilities 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CA-2, CA-5, CA-7, PL-2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CA.L2-3.12.2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Deficiencies are recorded in the risk register and POA&amp;M with owner, milestones, target dates, evidence, and eligibility review.</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VTC-IMS-SSP-918 and POA&amp;M tracker; objective/deficiency, owner, milestones, target date, eligibility, risk, closure evidence; overdue and closure review.</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3.12.3[a] </w:t>
            </w:r>
            <w:r>
              <w:rPr>
                <w:rFonts w:eastAsia="Calibri" w:cs="Calibri"/>
                <w:b w:val="false"/>
                <w:i w:val="false"/>
                <w:sz w:val="20"/>
              </w:rPr>
              <w:t>security controls are monitored on an ongoing basis to ensure the continued effectiveness of those controls.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Monitor security controls on an ongoing basis to ensure the continued effectiveness of the controls.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CA-2, CA-5, CA-7, PL-2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CA.L2-3.12.3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Defender, Entra, Intune, Purview, Windows, UDM-Pro, and governance trackers provide continuous monitoring with defined cadence.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Continuous-monitoring plan/tracker; control cadence and owners; completed review records; exception/escalation evidence; sample monitoring-cycle validation.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3.12.4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3.12.4[a] </w:t>
            </w:r>
            <w:r>
              <w:rPr>
                <w:rFonts w:eastAsia="Calibri" w:cs="Calibri"/>
                <w:b w:val="false"/>
                <w:i w:val="false"/>
                <w:sz w:val="20"/>
              </w:rPr>
              <w:t>a system security plan is developed.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3.12.4[b] </w:t>
            </w:r>
            <w:r>
              <w:rPr>
                <w:rFonts w:eastAsia="Calibri" w:cs="Calibri"/>
                <w:b w:val="false"/>
                <w:i w:val="false"/>
                <w:sz w:val="20"/>
              </w:rPr>
              <w:t>the system boundary is described and documented in the system security plan.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3.12.4[c] </w:t>
            </w:r>
            <w:r>
              <w:rPr>
                <w:rFonts w:eastAsia="Calibri" w:cs="Calibri"/>
                <w:b w:val="false"/>
                <w:i w:val="false"/>
                <w:sz w:val="20"/>
              </w:rPr>
              <w:t>the system environment of operation is described and documented in the system security plan.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3.12.4[d] </w:t>
            </w:r>
            <w:r>
              <w:rPr>
                <w:rFonts w:eastAsia="Calibri" w:cs="Calibri"/>
                <w:b w:val="false"/>
                <w:i w:val="false"/>
                <w:sz w:val="20"/>
              </w:rPr>
              <w:t>the security requirements identified and approved by the designated authority as non-applicable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3.12.4[e] </w:t>
            </w:r>
            <w:r>
              <w:rPr>
                <w:rFonts w:eastAsia="Calibri" w:cs="Calibri"/>
                <w:b w:val="false"/>
                <w:i w:val="false"/>
                <w:sz w:val="20"/>
              </w:rPr>
              <w:t>the method of security requirement implementation is described and documented in the system security plan.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3.12.4[f] </w:t>
            </w:r>
            <w:r>
              <w:rPr>
                <w:rFonts w:eastAsia="Calibri" w:cs="Calibri"/>
                <w:b w:val="false"/>
                <w:i w:val="false"/>
                <w:sz w:val="20"/>
              </w:rPr>
              <w:t>the relationship with or connection to other systems is described and documented in the system security plan.</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3.12.4[g] </w:t>
            </w:r>
            <w:r>
              <w:rPr>
                <w:rFonts w:eastAsia="Calibri" w:cs="Calibri"/>
                <w:b w:val="false"/>
                <w:i w:val="false"/>
                <w:sz w:val="20"/>
              </w:rPr>
              <w:t>the frequency to update the system security plan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3.12.4[h] </w:t>
            </w:r>
            <w:r>
              <w:rPr>
                <w:rFonts w:eastAsia="Calibri" w:cs="Calibri"/>
                <w:b w:val="false"/>
                <w:i w:val="false"/>
                <w:sz w:val="20"/>
              </w:rPr>
              <w:t>system security plan is updated with the defined frequency.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Develop, document, and periodically update system security plans that describe system boundaries, system environments of operation, how security requirements are implemented, and the relationships with or connections to other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CA-2, CA-5, CA-7, PL-2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CA.L2-3.12.4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This SSP defines the environment, boundary, assets, data flows, controls, roles, interconnections, and maintenance process and is kept current.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Approved VTC-IMS-SSP-993; scope/asset inventory; network and CUI-flow diagrams; CRM/SRM; annual/material-change review and approval record.</w:t>
            </w:r>
          </w:p>
        </w:tc>
      </w:tr>
    </w:tbl>
    <w:p>
      <w:pPr>
        <w:pStyle w:val="AppendixCFamily"/>
        <w:keepNext w:val="true"/>
        <w:spacing w:before="0" w:after="120"/>
        <w:rPr/>
      </w:pPr>
      <w:r>
        <w:br w:type="page"/>
      </w:r>
      <w:r>
        <w:rPr>
          <w:rFonts w:eastAsia="Calibri" w:cs="Calibri"/>
          <w:b/>
          <w:i w:val="false"/>
          <w:color w:val="0B78B9"/>
          <w:sz w:val="25"/>
        </w:rPr>
        <w:t>3.13 System and Communications Protection</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3.13.1[a] </w:t>
            </w:r>
            <w:r>
              <w:rPr>
                <w:rFonts w:eastAsia="Calibri" w:cs="Calibri"/>
                <w:b w:val="false"/>
                <w:i w:val="false"/>
                <w:sz w:val="20"/>
              </w:rPr>
              <w:t>the external system boundary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3.13.1[b] </w:t>
            </w:r>
            <w:r>
              <w:rPr>
                <w:rFonts w:eastAsia="Calibri" w:cs="Calibri"/>
                <w:b w:val="false"/>
                <w:i w:val="false"/>
                <w:sz w:val="20"/>
              </w:rPr>
              <w:t>key internal system boundaries are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3.13.1[c] </w:t>
            </w:r>
            <w:r>
              <w:rPr>
                <w:rFonts w:eastAsia="Calibri" w:cs="Calibri"/>
                <w:b w:val="false"/>
                <w:i w:val="false"/>
                <w:sz w:val="20"/>
              </w:rPr>
              <w:t>communications are monitored at the external system boundary.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3.13.1[d] </w:t>
            </w:r>
            <w:r>
              <w:rPr>
                <w:rFonts w:eastAsia="Calibri" w:cs="Calibri"/>
                <w:b w:val="false"/>
                <w:i w:val="false"/>
                <w:sz w:val="20"/>
              </w:rPr>
              <w:t>communications are monitored at key internal boundaries.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3.13.1[e] </w:t>
            </w:r>
            <w:r>
              <w:rPr>
                <w:rFonts w:eastAsia="Calibri" w:cs="Calibri"/>
                <w:b w:val="false"/>
                <w:i w:val="false"/>
                <w:sz w:val="20"/>
              </w:rPr>
              <w:t>communications are controlled at the external system boundary.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3.13.1[f] </w:t>
            </w:r>
            <w:r>
              <w:rPr>
                <w:rFonts w:eastAsia="Calibri" w:cs="Calibri"/>
                <w:b w:val="false"/>
                <w:i w:val="false"/>
                <w:sz w:val="20"/>
              </w:rPr>
              <w:t>communications are controlled at key internal boundaries.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3.13.1[g] </w:t>
            </w:r>
            <w:r>
              <w:rPr>
                <w:rFonts w:eastAsia="Calibri" w:cs="Calibri"/>
                <w:b w:val="false"/>
                <w:i w:val="false"/>
                <w:sz w:val="20"/>
              </w:rPr>
              <w:t>communications are protected at the external system boundary.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3.13.1[h] </w:t>
            </w:r>
            <w:r>
              <w:rPr>
                <w:rFonts w:eastAsia="Calibri" w:cs="Calibri"/>
                <w:b w:val="false"/>
                <w:i w:val="false"/>
                <w:sz w:val="20"/>
              </w:rPr>
              <w:t>communications are protected at key internal boundaries.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Monitor, control, and protect communications (i.e., information transmitted or received by organizational systems) at the external boundaries and key internal boundaries of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SC-7, SA-8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The UDM-Pro/UniFi gateway controls the dedicated CUI VLAN boundary; inbound traffic is denied and outbound traffic is allow-by-exception. Microsoft GCC High boundary controls and Entra Conditional Access protect authorized Exchange/SharePoint communications and administrative sessions.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Network/data-flow diagrams; UDM-Pro rules/logs; Entra CA; Microsoft boundary responsibility evidence; allowed GCC High traffic and denied inbound/unauthorized traffic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3.13.2[a] </w:t>
            </w:r>
            <w:r>
              <w:rPr>
                <w:rFonts w:eastAsia="Calibri" w:cs="Calibri"/>
                <w:b w:val="false"/>
                <w:i w:val="false"/>
                <w:sz w:val="20"/>
              </w:rPr>
              <w:t>architectural designs that promote effective information security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3.13.2[b] </w:t>
            </w:r>
            <w:r>
              <w:rPr>
                <w:rFonts w:eastAsia="Calibri" w:cs="Calibri"/>
                <w:b w:val="false"/>
                <w:i w:val="false"/>
                <w:sz w:val="20"/>
              </w:rPr>
              <w:t>software development techniques that promote effective information security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3.13.2[c] </w:t>
            </w:r>
            <w:r>
              <w:rPr>
                <w:rFonts w:eastAsia="Calibri" w:cs="Calibri"/>
                <w:b w:val="false"/>
                <w:i w:val="false"/>
                <w:sz w:val="20"/>
              </w:rPr>
              <w:t>systems engineering principles that promote effective information security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3.13.2[d] </w:t>
            </w:r>
            <w:r>
              <w:rPr>
                <w:rFonts w:eastAsia="Calibri" w:cs="Calibri"/>
                <w:b w:val="false"/>
                <w:i w:val="false"/>
                <w:sz w:val="20"/>
              </w:rPr>
              <w:t>identified architectural designs that promote effective information security are employed.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3.13.2[e] </w:t>
            </w:r>
            <w:r>
              <w:rPr>
                <w:rFonts w:eastAsia="Calibri" w:cs="Calibri"/>
                <w:b w:val="false"/>
                <w:i w:val="false"/>
                <w:sz w:val="20"/>
              </w:rPr>
              <w:t>identified software development techniques that promote effective information security are employed.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3.13.2[f] </w:t>
            </w:r>
            <w:r>
              <w:rPr>
                <w:rFonts w:eastAsia="Calibri" w:cs="Calibri"/>
                <w:b w:val="false"/>
                <w:i w:val="false"/>
                <w:sz w:val="20"/>
              </w:rPr>
              <w:t>identified systems engineering principles that promote effective information security are employed.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architectural designs, software development techniques, and systems engineering principles that promote effective information security within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SC-7, SA-8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A documented minimal architecture uses separate identity, endpoint, cloud, and boundary protections with security engineering principles.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Security architecture/design record; enclave diagrams; secure configuration baseline; change/security-impact review; architecture review against scope and CUI flow.</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3.13.3[a] </w:t>
            </w:r>
            <w:r>
              <w:rPr>
                <w:rFonts w:eastAsia="Calibri" w:cs="Calibri"/>
                <w:b w:val="false"/>
                <w:i w:val="false"/>
                <w:sz w:val="20"/>
              </w:rPr>
              <w:t>user functionality is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3.13.3[b] </w:t>
            </w:r>
            <w:r>
              <w:rPr>
                <w:rFonts w:eastAsia="Calibri" w:cs="Calibri"/>
                <w:b w:val="false"/>
                <w:i w:val="false"/>
                <w:sz w:val="20"/>
              </w:rPr>
              <w:t>system management functionality is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3.13.3[c] </w:t>
            </w:r>
            <w:r>
              <w:rPr>
                <w:rFonts w:eastAsia="Calibri" w:cs="Calibri"/>
                <w:b w:val="false"/>
                <w:i w:val="false"/>
                <w:sz w:val="20"/>
              </w:rPr>
              <w:t>user functionality is separated from system management functionality.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Separate user functionality from system management functionality.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Separate standard and administrative accounts and restricted roles separate user functionality from system-management functionality.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Separate standard/admin account design; Entra roles; management-interface restrictions; privileged audit events; standard-user management-function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3.13.4[a] </w:t>
            </w:r>
            <w:r>
              <w:rPr>
                <w:rFonts w:eastAsia="Calibri" w:cs="Calibri"/>
                <w:b w:val="false"/>
                <w:i w:val="false"/>
                <w:sz w:val="20"/>
              </w:rPr>
              <w:t>unauthorized and unintended information transfer via shared system resources is prevented.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Prevent unauthorized and unintended information transfer via shared system resources.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Exchange/SharePoint permissions, endpoint cache and clipboard restrictions, process/application controls, and firewall rules prevent unauthorized or unintended CUI transfer through shared resources.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Exchange/SharePoint permissions; endpoint cache/clipboard and application controls; firewall rules; approved transfer test; cross-user/shared-resource leakage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3.13.5[a] </w:t>
            </w:r>
            <w:r>
              <w:rPr>
                <w:rFonts w:eastAsia="Calibri" w:cs="Calibri"/>
                <w:b w:val="false"/>
                <w:i w:val="false"/>
                <w:sz w:val="20"/>
              </w:rPr>
              <w:t>publicly accessible system components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3.13.5[b] </w:t>
            </w:r>
            <w:r>
              <w:rPr>
                <w:rFonts w:eastAsia="Calibri" w:cs="Calibri"/>
                <w:b w:val="false"/>
                <w:i w:val="false"/>
                <w:sz w:val="20"/>
              </w:rPr>
              <w:t>subnetworks for publicly accessible system components are physically or logically separated from internal networks.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Implement subnetworks for publicly accessible system components that are physically or logically separated from internal networks.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the assessed boundary contains no publicly accessible system component. Public websites and anonymous/public sharing are outside the CUI enclave and are prohibited from processing, storing, or transmitting CUI.</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asset inventory and diagrams confirming no publicly accessible component in scope; public exposure/search review; assessor confirmation.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3.13.6[a] </w:t>
            </w:r>
            <w:r>
              <w:rPr>
                <w:rFonts w:eastAsia="Calibri" w:cs="Calibri"/>
                <w:b w:val="false"/>
                <w:i w:val="false"/>
                <w:sz w:val="20"/>
              </w:rPr>
              <w:t>network communications traffic is denied by default.</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3.13.6[b] </w:t>
            </w:r>
            <w:r>
              <w:rPr>
                <w:rFonts w:eastAsia="Calibri" w:cs="Calibri"/>
                <w:b w:val="false"/>
                <w:i w:val="false"/>
                <w:sz w:val="20"/>
              </w:rPr>
              <w:t>network communications traffic is allowed by exception.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Deny network communications traffic by default and allow network communications traffic by exception (i.e., deny all, permit by exception).</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Network communications are denied by default and permitted only through approved, documented firewall exceptions.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UDM-Pro deny-by-default rule set; Windows Firewall baseline; approved allow list; rule review/approval; permitted GCC High connection and unapproved-port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3.13.7[a] </w:t>
            </w:r>
            <w:r>
              <w:rPr>
                <w:rFonts w:eastAsia="Calibri" w:cs="Calibri"/>
                <w:b w:val="false"/>
                <w:i w:val="false"/>
                <w:sz w:val="20"/>
              </w:rPr>
              <w:t>remote devices are prevented from simultaneously establishing non-remote connections with the system and communicating via some other connection to resources in external networks (i.e., split tunneling).</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val="false"/>
                <w:i w:val="false"/>
                <w:color w:val="FFFFFF"/>
                <w:sz w:val="20"/>
              </w:rPr>
              <w:t>( )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i w:val="false"/>
                <w:color w:val="FFFFFF"/>
                <w:sz w:val="20"/>
              </w:rPr>
              <w:t>(X)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Prevent remote devices from simultaneously establishing non-remote connections with organizational systems and communicating via some other connection to resources in external networks (i.e., split tunneling).</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SC-7</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Proposed N/A: no remote device, VPN, split-tunnel client, hotspot, or alternate network path is authorized or configured for CUI. Outbound TLS access from VTC_CUI_WS1 to GCC High is not a simultaneous remote-device connection and does not create a split-tunneling path.</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N/A rationale; no VPN/remote device access path; network/CA configuration; split-tunnel prohibition; VPN/hotspot/alternate-path deny tests; assessor confirmation.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3.13.8</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3.13.8[a] </w:t>
            </w:r>
            <w:r>
              <w:rPr>
                <w:rFonts w:eastAsia="Calibri" w:cs="Calibri"/>
                <w:b w:val="false"/>
                <w:i w:val="false"/>
                <w:sz w:val="20"/>
              </w:rPr>
              <w:t>cryptographic mechanisms intended to prevent unauthorized disclosure of CUI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3.13.8[b] </w:t>
            </w:r>
            <w:r>
              <w:rPr>
                <w:rFonts w:eastAsia="Calibri" w:cs="Calibri"/>
                <w:b w:val="false"/>
                <w:i w:val="false"/>
                <w:sz w:val="20"/>
              </w:rPr>
              <w:t>alternative physical safeguards intended to prevent unauthorized disclosure of CUI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3.13.8[c] </w:t>
            </w:r>
            <w:r>
              <w:rPr>
                <w:rFonts w:eastAsia="Calibri" w:cs="Calibri"/>
                <w:b w:val="false"/>
                <w:i w:val="false"/>
                <w:sz w:val="20"/>
              </w:rPr>
              <w:t>either cryptographic mechanisms or alternative physical safeguards are implemented to prevent unauthorized disclosure of CUI during transmission.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Implement cryptographic mechanisms to prevent unauthorized disclosure of CUI during transmission unless otherwise protected by alternative physical safeguards.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SC.L2-3.13.8</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transmitted through the designated GCC High Exchange and SharePoint workflows uses TLS 1.2+ and documented FIPS-validated cryptographic modules. Unencrypted and legacy protocols are blocked.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TLS/protocol settings; Microsoft/endpoint CMVP module evidence; Exchange/SharePoint secure-session capture; legacy/unencrypted protocol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3.13.9</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3.13.9[a] </w:t>
            </w:r>
            <w:r>
              <w:rPr>
                <w:rFonts w:eastAsia="Calibri" w:cs="Calibri"/>
                <w:b w:val="false"/>
                <w:i w:val="false"/>
                <w:sz w:val="20"/>
              </w:rPr>
              <w:t>a period of inactivity to terminate network connections associated with communications sessions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3.13.9[b] </w:t>
            </w:r>
            <w:r>
              <w:rPr>
                <w:rFonts w:eastAsia="Calibri" w:cs="Calibri"/>
                <w:b w:val="false"/>
                <w:i w:val="false"/>
                <w:sz w:val="20"/>
              </w:rPr>
              <w:t>network connections associated with communications sessions are terminated at the end of the sessions.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3.13.9[c] </w:t>
            </w:r>
            <w:r>
              <w:rPr>
                <w:rFonts w:eastAsia="Calibri" w:cs="Calibri"/>
                <w:b w:val="false"/>
                <w:i w:val="false"/>
                <w:sz w:val="20"/>
              </w:rPr>
              <w:t>network connections associated with communications sessions are terminated after the defined period of inactivity.</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Terminate network connections associated with communications sessions at the end of the sessions or after a defined period of inactivity.</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SC-10</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SC.L2-3.13.9</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Network and cloud sessions terminate at session end or require reauthentication after the approved sign-in frequency, 15-minute endpoint inactivity lock, account disablement, administrative revocation, or risk event.</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CA/session settings; 15-minute endpoint lock; token revocation/disable-user evidence; session-end/inactivity test; UDM/session-log sample.</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3.13.10</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3.13.10[a] </w:t>
            </w:r>
            <w:r>
              <w:rPr>
                <w:rFonts w:eastAsia="Calibri" w:cs="Calibri"/>
                <w:b w:val="false"/>
                <w:i w:val="false"/>
                <w:sz w:val="20"/>
              </w:rPr>
              <w:t>cryptographic keys are established whenever cryptography is employed.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3.13.10[b] </w:t>
            </w:r>
            <w:r>
              <w:rPr>
                <w:rFonts w:eastAsia="Calibri" w:cs="Calibri"/>
                <w:b w:val="false"/>
                <w:i w:val="false"/>
                <w:sz w:val="20"/>
              </w:rPr>
              <w:t>cryptographic keys are managed whenever cryptography is employed.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Establish and manage cryptographic keys for cryptography employed 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SC-12</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SC.L2-3.13.10</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BitLocker recovery keys, Windows Hello/FIDO2 credentials, TLS keys/certificates, and other cryptographic material are generated and maintained through approved Microsoft/provider mechanisms, access-restricted, logged, escrowed or revoked as applicable, and never exposed in evidence.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Cryptographic-key/credential inventory; BitLocker recovery-key access; certificate and Windows Hello/FIDO2 management; access logs; rotation/revocation demonstration.</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3.13.11[a] </w:t>
            </w:r>
            <w:r>
              <w:rPr>
                <w:rFonts w:eastAsia="Calibri" w:cs="Calibri"/>
                <w:b w:val="false"/>
                <w:i w:val="false"/>
                <w:sz w:val="20"/>
              </w:rPr>
              <w:t>FIPS-validated cryptography is employed to protect the confidentiality of CUI.</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Employ FIPS-validated cryptography when used to protect the confidentiality of CUI.</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VTC uses FIPS-validated cryptographic modules whenever cryptography is relied upon to protect CUI confidentiality. For GCC High Exchange/SharePoint data in transit and at rest, VTC retains Microsoft provider authorization, cryptographic-module, and customer-responsibility evidence. For VTC_CUI_WS1, VTC retains the exact operating-system build, module name/version, CMVP certificate, approved operating mode, BitLocker/Schannel configuration, and validation output. The Windows FIPS policy setting alone is not treated as proof of validation.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Microsoft provider/CRM package; cryptographic-module matrix; applicable NIST CMVP certificates; OS build and approved-mode evidence; BitLocker/Schannel validation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3.13.12[a] </w:t>
            </w:r>
            <w:r>
              <w:rPr>
                <w:rFonts w:eastAsia="Calibri" w:cs="Calibri"/>
                <w:b w:val="false"/>
                <w:i w:val="false"/>
                <w:sz w:val="20"/>
              </w:rPr>
              <w:t>collaborative computing devices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3.13.12[b] </w:t>
            </w:r>
            <w:r>
              <w:rPr>
                <w:rFonts w:eastAsia="Calibri" w:cs="Calibri"/>
                <w:b w:val="false"/>
                <w:i w:val="false"/>
                <w:sz w:val="20"/>
              </w:rPr>
              <w:t>collaborative computing devices provide indication to users of devices in use.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3.13.12[c] </w:t>
            </w:r>
            <w:r>
              <w:rPr>
                <w:rFonts w:eastAsia="Calibri" w:cs="Calibri"/>
                <w:b w:val="false"/>
                <w:i w:val="false"/>
                <w:sz w:val="20"/>
              </w:rPr>
              <w:t>remote activation of collaborative computing devices is prohibited.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Prohibit remote activation of collaborative computing devices and provide indication of devices in use to users present at the device.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Collaborative computing devices and capabilities are identified in the asset and software inventory. Camera and microphone capabilities on VTC_CUI_WS1 are disabled for CUI use through the approved BIOS/Intune/Windows baseline; remote activation is prohibited. Hardware and operating-system use indicators remain enabled and are tested so any permitted activation is visible to the user.</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Collaborative-device inventory; BIOS/Intune/Windows camera/microphone controls; remote-activation prohibition; hardware/OS use indicators; activation and indicator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3.13.13[a] </w:t>
            </w:r>
            <w:r>
              <w:rPr>
                <w:rFonts w:eastAsia="Calibri" w:cs="Calibri"/>
                <w:b w:val="false"/>
                <w:i w:val="false"/>
                <w:sz w:val="20"/>
              </w:rPr>
              <w:t>use of mobile code is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3.13.13[b] </w:t>
            </w:r>
            <w:r>
              <w:rPr>
                <w:rFonts w:eastAsia="Calibri" w:cs="Calibri"/>
                <w:b w:val="false"/>
                <w:i w:val="false"/>
                <w:sz w:val="20"/>
              </w:rPr>
              <w:t>use of mobile code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and monitor the use of mobile code.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Macros, scripts, PowerShell, browser code, and other mobile code are restricted by source, approval, role, and Defender/Intune controls.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Mobile-code policy; browser/Office/PowerShell/macro controls; Defender/ASR and application inventory; authorized content test; unauthorized script/macro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3.13.14[a] </w:t>
            </w:r>
            <w:r>
              <w:rPr>
                <w:rFonts w:eastAsia="Calibri" w:cs="Calibri"/>
                <w:b w:val="false"/>
                <w:i w:val="false"/>
                <w:sz w:val="20"/>
              </w:rPr>
              <w:t>use of Voice over Internet Protocol (VoIP) technologies is controlled.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3.13.14[b] </w:t>
            </w:r>
            <w:r>
              <w:rPr>
                <w:rFonts w:eastAsia="Calibri" w:cs="Calibri"/>
                <w:b w:val="false"/>
                <w:i w:val="false"/>
                <w:sz w:val="20"/>
              </w:rPr>
              <w:t>use of Voice over Internet Protocol (VoIP) technologies is monitored.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Control and monitor the use of Voice over Internet Protocol (VoIP) technologies.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SC-19</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VoIP and collaboration technologies are controlled through the approved software inventory, application-control settings, firewall rules, and explicit prohibition on CUI use. Unauthorized clients are removed or blocked, relevant launch and network activity is monitored, and deny tests verify that VoIP cannot be used to communicate CUI from VTC_CUI_WS1.</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VoIP/collaboration policy; software inventory; application-control and firewall settings; monitoring logs; unauthorized client launch and VoIP traffic deny tests.</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3.13.15[a] </w:t>
            </w:r>
            <w:r>
              <w:rPr>
                <w:rFonts w:eastAsia="Calibri" w:cs="Calibri"/>
                <w:b w:val="false"/>
                <w:i w:val="false"/>
                <w:sz w:val="20"/>
              </w:rPr>
              <w:t>the authenticity of communications sessions is protected.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the authenticity of communications sessions.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SC-23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Exchange/SharePoint and administrative sessions use authenticated Entra identities, device identity, TLS certificate validation, and approved cryptographic mechanisms that protect session authenticity.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Entra user/device authentication; TLS certificate/session evidence; CA sign-in logs; approved session test; invalid certificate/unauthorized-session deny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3.13.16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3.13.16[a] </w:t>
            </w:r>
            <w:r>
              <w:rPr>
                <w:rFonts w:eastAsia="Calibri" w:cs="Calibri"/>
                <w:b w:val="false"/>
                <w:i w:val="false"/>
                <w:sz w:val="20"/>
              </w:rPr>
              <w:t>the confidentiality of CUI at rest is protected.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Protect the confidentiality of CUI at rest.</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SC-28</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SC.L2-3.13.16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CUI at rest in the designated GCC High Exchange mailbox and SharePoint CUI site is protected within the authorized Microsoft service boundary. Local CUI on VTC_CUI_WS1 is protected by BitLocker using the documented FIPS-validated module and approved configuration. Unencrypted local, removable, and alternate storage is prohibited.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Microsoft provider/CRM evidence; Exchange/SharePoint at-rest protection; BitLocker and CMVP module evidence; recovery-key access; unencrypted/removable storage deny tests.</w:t>
            </w:r>
          </w:p>
        </w:tc>
      </w:tr>
    </w:tbl>
    <w:p>
      <w:pPr>
        <w:pStyle w:val="AppendixCFamily"/>
        <w:keepNext w:val="true"/>
        <w:spacing w:before="0" w:after="120"/>
        <w:rPr/>
      </w:pPr>
      <w:r>
        <w:br w:type="page"/>
      </w:r>
      <w:r>
        <w:rPr>
          <w:rFonts w:eastAsia="Calibri" w:cs="Calibri"/>
          <w:b/>
          <w:i w:val="false"/>
          <w:color w:val="0B78B9"/>
          <w:sz w:val="25"/>
        </w:rPr>
        <w:t>3.14 System and Information Integrity</w:t>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3.14.1</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3.14.1[a] </w:t>
            </w:r>
            <w:r>
              <w:rPr>
                <w:rFonts w:eastAsia="Calibri" w:cs="Calibri"/>
                <w:b w:val="false"/>
                <w:i w:val="false"/>
                <w:sz w:val="20"/>
              </w:rPr>
              <w:t>the time within which to identify system flaws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3.14.1[b] </w:t>
            </w:r>
            <w:r>
              <w:rPr>
                <w:rFonts w:eastAsia="Calibri" w:cs="Calibri"/>
                <w:b w:val="false"/>
                <w:i w:val="false"/>
                <w:sz w:val="20"/>
              </w:rPr>
              <w:t>system flaws are identified within the specified time frame.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3.14.1[c] </w:t>
            </w:r>
            <w:r>
              <w:rPr>
                <w:rFonts w:eastAsia="Calibri" w:cs="Calibri"/>
                <w:b w:val="false"/>
                <w:i w:val="false"/>
                <w:sz w:val="20"/>
              </w:rPr>
              <w:t>the time within which to report system flaws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3.14.1[d] </w:t>
            </w:r>
            <w:r>
              <w:rPr>
                <w:rFonts w:eastAsia="Calibri" w:cs="Calibri"/>
                <w:b w:val="false"/>
                <w:i w:val="false"/>
                <w:sz w:val="20"/>
              </w:rPr>
              <w:t>system flaws are reported within the specified time frame.</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3.14.1[e] </w:t>
            </w:r>
            <w:r>
              <w:rPr>
                <w:rFonts w:eastAsia="Calibri" w:cs="Calibri"/>
                <w:b w:val="false"/>
                <w:i w:val="false"/>
                <w:sz w:val="20"/>
              </w:rPr>
              <w:t>the time within which to correct system flaws is specified.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3.14.1[f] </w:t>
            </w:r>
            <w:r>
              <w:rPr>
                <w:rFonts w:eastAsia="Calibri" w:cs="Calibri"/>
                <w:b w:val="false"/>
                <w:i w:val="false"/>
                <w:sz w:val="20"/>
              </w:rPr>
              <w:t>system flaws are corrected within the specified time frame.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Identify, report, and correct system flaws in a timely manner.</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SI-2, SI-3, SI-5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SI.L2-3.14.1</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Windows/Intune/Defender and vendor advisories identify flaws; remediation is risk-prioritized, tracked, tested, and evidenced.</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Defender/Intune flaw and update reports; vulnerability/advisory tickets; risk-based remediation timelines; patch/configuration evidence; rescanning/retest and closure.</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3.14.2</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3.14.2[a] </w:t>
            </w:r>
            <w:r>
              <w:rPr>
                <w:rFonts w:eastAsia="Calibri" w:cs="Calibri"/>
                <w:b w:val="false"/>
                <w:i w:val="false"/>
                <w:sz w:val="20"/>
              </w:rPr>
              <w:t>designated locations for malicious code protection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3.14.2[b] </w:t>
            </w:r>
            <w:r>
              <w:rPr>
                <w:rFonts w:eastAsia="Calibri" w:cs="Calibri"/>
                <w:b w:val="false"/>
                <w:i w:val="false"/>
                <w:sz w:val="20"/>
              </w:rPr>
              <w:t>protection from malicious code at designated locations is provided.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Provide protection from malicious code at designated locations within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SI-2, SI-3, SI-5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SI.L2-3.14.2</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Defender for Endpoint/Antivirus provides real-time and cloud-delivered malicious-code protection on VTC_CUI_WS1.</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Defender Antivirus/EDR configuration and health; cloud protection/real-time scanning; endpoint status; EICAR or approved benign test-file detection and response.</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3.14.3</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3.14.3[a] </w:t>
            </w:r>
            <w:r>
              <w:rPr>
                <w:rFonts w:eastAsia="Calibri" w:cs="Calibri"/>
                <w:b w:val="false"/>
                <w:i w:val="false"/>
                <w:sz w:val="20"/>
              </w:rPr>
              <w:t>response actions to system security alerts and advisories are identified.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3.14.3[b] </w:t>
            </w:r>
            <w:r>
              <w:rPr>
                <w:rFonts w:eastAsia="Calibri" w:cs="Calibri"/>
                <w:b w:val="false"/>
                <w:i w:val="false"/>
                <w:sz w:val="20"/>
              </w:rPr>
              <w:t>system security alerts and advisories are monitored.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3.14.3[c] </w:t>
            </w:r>
            <w:r>
              <w:rPr>
                <w:rFonts w:eastAsia="Calibri" w:cs="Calibri"/>
                <w:b w:val="false"/>
                <w:i w:val="false"/>
                <w:sz w:val="20"/>
              </w:rPr>
              <w:t>actions in response to system security alerts and advisories are taken.</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Monitor system security alerts and advisories and take action in response.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SI-2, SI-3, SI-5</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SI.L2-3.14.3</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MSRC, Microsoft service health, CISA KEV/alerts, Ubiquiti, and customer notices are reviewed and acted upon.</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CISA/vendor/Microsoft advisory sources; monitoring log; applicability/risk decision; action ticket; sample advisory-to-remediation trace.</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3.14.4</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3.14.4[a] </w:t>
            </w:r>
            <w:r>
              <w:rPr>
                <w:rFonts w:eastAsia="Calibri" w:cs="Calibri"/>
                <w:b w:val="false"/>
                <w:i w:val="false"/>
                <w:sz w:val="20"/>
              </w:rPr>
              <w:t>malicious code protection mechanisms are updated when new releases are available.</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Update malicious code protection mechanisms when new releases are available.</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SI.L2-3.14.4</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Defender security intelligence, engine, platform, Windows, and applications are updated automatically and monitored for failure.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Defender engine/platform/signature update settings and current versions; update history; stale-signature alert; forced-update and post-update health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3.14.5</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3.14.5[a] </w:t>
            </w:r>
            <w:r>
              <w:rPr>
                <w:rFonts w:eastAsia="Calibri" w:cs="Calibri"/>
                <w:b w:val="false"/>
                <w:i w:val="false"/>
                <w:sz w:val="20"/>
              </w:rPr>
              <w:t>the frequency for malicious code scans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3.14.5[b] </w:t>
            </w:r>
            <w:r>
              <w:rPr>
                <w:rFonts w:eastAsia="Calibri" w:cs="Calibri"/>
                <w:b w:val="false"/>
                <w:i w:val="false"/>
                <w:sz w:val="20"/>
              </w:rPr>
              <w:t>malicious code scans are performed with the defined frequency.</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3.14.5[c] </w:t>
            </w:r>
            <w:r>
              <w:rPr>
                <w:rFonts w:eastAsia="Calibri" w:cs="Calibri"/>
                <w:b w:val="false"/>
                <w:i w:val="false"/>
                <w:sz w:val="20"/>
              </w:rPr>
              <w:t>real-time malicious code scans of files from external sources as files are downloaded, opened, or executed are performed.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Perform periodic scans of organizational systems and real-time scans of files from external sources as files are downloaded, opened, or executed.</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SI-3</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SI.L2-3.14.5</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Real-time/on-access scanning and documented periodic scans are performed; detections invoke incident response.</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Scheduled and real-time scan settings; scan history/results; download/open/execute protection; approved benign test-file scan; exception review.</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3.14.6</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3.14.6[a] </w:t>
            </w:r>
            <w:r>
              <w:rPr>
                <w:rFonts w:eastAsia="Calibri" w:cs="Calibri"/>
                <w:b w:val="false"/>
                <w:i w:val="false"/>
                <w:sz w:val="20"/>
              </w:rPr>
              <w:t>the system is monitored to detect attacks and indicators of potential attacks.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3.14.6[b] </w:t>
            </w:r>
            <w:r>
              <w:rPr>
                <w:rFonts w:eastAsia="Calibri" w:cs="Calibri"/>
                <w:b w:val="false"/>
                <w:i w:val="false"/>
                <w:sz w:val="20"/>
              </w:rPr>
              <w:t>inbound communications traffic is monitored to detect attacks and indicators of potential attacks.</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3.14.6[c] </w:t>
            </w:r>
            <w:r>
              <w:rPr>
                <w:rFonts w:eastAsia="Calibri" w:cs="Calibri"/>
                <w:b w:val="false"/>
                <w:i w:val="false"/>
                <w:sz w:val="20"/>
              </w:rPr>
              <w:t>outbound communications traffic is monitored to detect attacks and indicators of potential attacks.</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Monitor organizational systems, including inbound and outbound communications traffic, to detect attacks and indicators of potential attacks.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SI.L2-3.14.6</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Defender, Entra, Intune, Purview, Exchange/SharePoint, Windows, Control HUB, and UDM-Pro logs are monitored and correlated to detect attacks and indicators in inbound and outbound communications and system activity.</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Defender/Entra/Purview/Exchange/Windows/Control HUB/UDM alerts and logs; weekly/monthly correlation review; simulated attack/indicator detection test.</w:t>
            </w:r>
          </w:p>
        </w:tc>
      </w:tr>
    </w:tbl>
    <w:p>
      <w:pPr>
        <w:pStyle w:val="Normal"/>
        <w:keepNext w:val="false"/>
        <w:spacing w:lineRule="auto" w:line="240" w:before="0" w:after="40"/>
        <w:rPr/>
      </w:pPr>
      <w:r>
        <w:rPr/>
      </w:r>
    </w:p>
    <w:tbl>
      <w:tblPr>
        <w:tblW w:w="14832"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7416"/>
        <w:gridCol w:w="7415"/>
      </w:tblGrid>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true"/>
              <w:spacing w:lineRule="auto" w:line="240" w:before="0" w:after="0"/>
              <w:jc w:val="center"/>
              <w:rPr/>
            </w:pPr>
            <w:r>
              <w:rPr>
                <w:rFonts w:eastAsia="Calibri" w:cs="Calibri"/>
                <w:b/>
                <w:i w:val="false"/>
                <w:color w:val="FFFFFF"/>
                <w:sz w:val="20"/>
              </w:rPr>
              <w:t>3.14.7</w:t>
            </w:r>
          </w:p>
          <w:p>
            <w:pPr>
              <w:pStyle w:val="Normal"/>
              <w:keepNext w:val="true"/>
              <w:spacing w:lineRule="auto" w:line="240" w:before="0" w:after="0"/>
              <w:jc w:val="center"/>
              <w:rPr/>
            </w:pPr>
            <w:r>
              <w:rPr>
                <w:rFonts w:eastAsia="Calibri" w:cs="Calibri"/>
                <w:b/>
                <w:i w:val="false"/>
                <w:color w:val="FFFFFF"/>
                <w:sz w:val="20"/>
              </w:rPr>
              <w:t>Determine if:</w:t>
            </w:r>
          </w:p>
        </w:tc>
        <w:tc>
          <w:tcPr>
            <w:tcW w:w="7415" w:type="dxa"/>
            <w:tcBorders>
              <w:top w:val="single" w:sz="6" w:space="0" w:color="8EA1B2"/>
              <w:start w:val="single" w:sz="6" w:space="0" w:color="8EA1B2"/>
              <w:bottom w:val="single" w:sz="6" w:space="0" w:color="8EA1B2"/>
              <w:end w:val="single" w:sz="6" w:space="0" w:color="8EA1B2"/>
            </w:tcBorders>
            <w:shd w:fill="EAF3F9" w:val="clear"/>
            <w:vAlign w:val="center"/>
          </w:tcPr>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3.14.7[a] </w:t>
            </w:r>
            <w:r>
              <w:rPr>
                <w:rFonts w:eastAsia="Calibri" w:cs="Calibri"/>
                <w:b w:val="false"/>
                <w:i w:val="false"/>
                <w:sz w:val="20"/>
              </w:rPr>
              <w:t>authorized use of the system is defined.</w:t>
            </w:r>
          </w:p>
          <w:p>
            <w:pPr>
              <w:pStyle w:val="Normal"/>
              <w:keepNext w:val="true"/>
              <w:spacing w:lineRule="auto" w:line="240" w:before="0" w:after="0"/>
              <w:rPr/>
            </w:pPr>
            <w:r>
              <w:rPr>
                <w:rFonts w:eastAsia="Calibri" w:cs="Calibri"/>
                <w:b/>
                <w:i w:val="false"/>
                <w:color w:val="00552E"/>
                <w:sz w:val="20"/>
              </w:rPr>
              <w:t xml:space="preserve">[X] </w:t>
            </w:r>
            <w:r>
              <w:rPr>
                <w:rFonts w:eastAsia="Calibri" w:cs="Calibri"/>
                <w:b/>
                <w:i w:val="false"/>
                <w:sz w:val="20"/>
              </w:rPr>
              <w:t xml:space="preserve">3.14.7[b] </w:t>
            </w:r>
            <w:r>
              <w:rPr>
                <w:rFonts w:eastAsia="Calibri" w:cs="Calibri"/>
                <w:b w:val="false"/>
                <w:i w:val="false"/>
                <w:sz w:val="20"/>
              </w:rPr>
              <w:t>unauthorized use of the system is identified.</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0B78B9" w:val="clear"/>
            <w:vAlign w:val="center"/>
          </w:tcPr>
          <w:p>
            <w:pPr>
              <w:pStyle w:val="Normal"/>
              <w:keepNext w:val="true"/>
              <w:spacing w:lineRule="auto" w:line="240" w:before="0" w:after="0"/>
              <w:jc w:val="center"/>
              <w:rPr/>
            </w:pPr>
            <w:r>
              <w:rPr>
                <w:rFonts w:eastAsia="Calibri" w:cs="Calibri"/>
                <w:b/>
                <w:i w:val="false"/>
                <w:color w:val="FFFFFF"/>
                <w:sz w:val="20"/>
              </w:rPr>
              <w:t>DFARS Compliance Status (VTC)</w:t>
            </w:r>
          </w:p>
          <w:p>
            <w:pPr>
              <w:pStyle w:val="Normal"/>
              <w:keepNext w:val="true"/>
              <w:spacing w:lineRule="auto" w:line="240" w:before="0" w:after="0"/>
              <w:jc w:val="center"/>
              <w:rPr/>
            </w:pPr>
            <w:r>
              <w:rPr>
                <w:rFonts w:eastAsia="Calibri" w:cs="Calibri"/>
                <w:b/>
                <w:i w:val="false"/>
                <w:color w:val="FFFFFF"/>
                <w:sz w:val="20"/>
              </w:rPr>
              <w:t>(X) Met</w:t>
            </w:r>
          </w:p>
          <w:p>
            <w:pPr>
              <w:pStyle w:val="Normal"/>
              <w:keepNext w:val="true"/>
              <w:spacing w:lineRule="auto" w:line="240" w:before="0" w:after="0"/>
              <w:jc w:val="center"/>
              <w:rPr/>
            </w:pPr>
            <w:r>
              <w:rPr>
                <w:rFonts w:eastAsia="Calibri" w:cs="Calibri"/>
                <w:b w:val="false"/>
                <w:i w:val="false"/>
                <w:color w:val="FFFFFF"/>
                <w:sz w:val="20"/>
              </w:rPr>
              <w:t>( ) Not Met</w:t>
            </w:r>
          </w:p>
          <w:p>
            <w:pPr>
              <w:pStyle w:val="Normal"/>
              <w:keepNext w:val="true"/>
              <w:spacing w:lineRule="auto" w:line="240" w:before="0" w:after="0"/>
              <w:jc w:val="center"/>
              <w:rPr/>
            </w:pPr>
            <w:r>
              <w:rPr>
                <w:rFonts w:eastAsia="Calibri" w:cs="Calibri"/>
                <w:b w:val="false"/>
                <w:i w:val="false"/>
                <w:color w:val="FFFFFF"/>
                <w:sz w:val="20"/>
              </w:rPr>
              <w:t>( ) Not Applicable</w:t>
            </w:r>
          </w:p>
        </w:tc>
        <w:tc>
          <w:tcPr>
            <w:tcW w:w="7415" w:type="dxa"/>
            <w:tcBorders>
              <w:top w:val="single" w:sz="6" w:space="0" w:color="8EA1B2"/>
              <w:start w:val="single" w:sz="6" w:space="0" w:color="8EA1B2"/>
              <w:bottom w:val="single" w:sz="6" w:space="0" w:color="8EA1B2"/>
              <w:end w:val="single" w:sz="6" w:space="0" w:color="8EA1B2"/>
            </w:tcBorders>
            <w:shd w:fill="F2F4F6" w:val="clear"/>
            <w:vAlign w:val="center"/>
          </w:tcPr>
          <w:p>
            <w:pPr>
              <w:pStyle w:val="Normal"/>
              <w:keepNext w:val="true"/>
              <w:spacing w:lineRule="auto" w:line="240" w:before="0" w:after="0"/>
              <w:rPr/>
            </w:pPr>
            <w:r>
              <w:rPr>
                <w:rFonts w:eastAsia="Calibri" w:cs="Calibri"/>
                <w:b/>
                <w:i w:val="false"/>
                <w:sz w:val="20"/>
              </w:rPr>
              <w:t xml:space="preserve">Security Requirement: </w:t>
            </w:r>
            <w:r>
              <w:rPr>
                <w:rFonts w:eastAsia="Calibri" w:cs="Calibri"/>
                <w:b w:val="false"/>
                <w:i w:val="false"/>
                <w:sz w:val="20"/>
              </w:rPr>
              <w:t>Identify unauthorized use of organizational systems.</w:t>
            </w:r>
          </w:p>
          <w:p>
            <w:pPr>
              <w:pStyle w:val="Normal"/>
              <w:keepNext w:val="true"/>
              <w:spacing w:lineRule="auto" w:line="240" w:before="0" w:after="0"/>
              <w:rPr/>
            </w:pPr>
            <w:r>
              <w:rPr>
                <w:rFonts w:eastAsia="Calibri" w:cs="Calibri"/>
                <w:b/>
                <w:i w:val="false"/>
                <w:sz w:val="20"/>
              </w:rPr>
              <w:t xml:space="preserve">NIST SP 800-53 Source Control(s): </w:t>
            </w:r>
            <w:r>
              <w:rPr>
                <w:rFonts w:eastAsia="Calibri" w:cs="Calibri"/>
                <w:b w:val="false"/>
                <w:i w:val="false"/>
                <w:sz w:val="20"/>
              </w:rPr>
              <w:t>SI-4</w:t>
            </w:r>
          </w:p>
          <w:p>
            <w:pPr>
              <w:pStyle w:val="Normal"/>
              <w:keepNext w:val="true"/>
              <w:spacing w:lineRule="auto" w:line="240" w:before="0" w:after="0"/>
              <w:rPr/>
            </w:pPr>
            <w:r>
              <w:rPr>
                <w:rFonts w:eastAsia="Calibri" w:cs="Calibri"/>
                <w:b/>
                <w:i w:val="false"/>
                <w:sz w:val="20"/>
              </w:rPr>
              <w:t xml:space="preserve">Appendix A Reference: </w:t>
            </w:r>
            <w:r>
              <w:rPr>
                <w:rFonts w:eastAsia="Calibri" w:cs="Calibri"/>
                <w:b w:val="false"/>
                <w:i w:val="false"/>
                <w:sz w:val="20"/>
              </w:rPr>
              <w:t>SI.L2-3.14.7</w:t>
            </w:r>
          </w:p>
        </w:tc>
      </w:tr>
      <w:tr>
        <w:trPr>
          <w:cantSplit w:val="true"/>
        </w:trPr>
        <w:tc>
          <w:tcPr>
            <w:tcW w:w="7416" w:type="dxa"/>
            <w:tcBorders>
              <w:top w:val="single" w:sz="6" w:space="0" w:color="8EA1B2"/>
              <w:start w:val="single" w:sz="6" w:space="0" w:color="8EA1B2"/>
              <w:bottom w:val="single" w:sz="6" w:space="0" w:color="8EA1B2"/>
              <w:end w:val="single" w:sz="6" w:space="0" w:color="8EA1B2"/>
            </w:tcBorders>
            <w:shd w:fill="123D63" w:val="clear"/>
            <w:vAlign w:val="center"/>
          </w:tcPr>
          <w:p>
            <w:pPr>
              <w:pStyle w:val="Normal"/>
              <w:keepNext w:val="false"/>
              <w:spacing w:lineRule="auto" w:line="240" w:before="0" w:after="0"/>
              <w:jc w:val="center"/>
              <w:rPr/>
            </w:pPr>
            <w:r>
              <w:rPr>
                <w:rFonts w:eastAsia="Calibri" w:cs="Calibri"/>
                <w:b/>
                <w:i w:val="false"/>
                <w:color w:val="FFFFFF"/>
                <w:sz w:val="20"/>
              </w:rPr>
              <w:t>Current Implementation / Evidence</w:t>
            </w:r>
          </w:p>
        </w:tc>
        <w:tc>
          <w:tcPr>
            <w:tcW w:w="7415" w:type="dxa"/>
            <w:tcBorders>
              <w:top w:val="single" w:sz="6" w:space="0" w:color="8EA1B2"/>
              <w:start w:val="single" w:sz="6" w:space="0" w:color="8EA1B2"/>
              <w:bottom w:val="single" w:sz="6" w:space="0" w:color="8EA1B2"/>
              <w:end w:val="single" w:sz="6" w:space="0" w:color="8EA1B2"/>
            </w:tcBorders>
            <w:shd w:fill="FFFFFF" w:val="clear"/>
            <w:vAlign w:val="center"/>
          </w:tcPr>
          <w:p>
            <w:pPr>
              <w:pStyle w:val="Normal"/>
              <w:keepNext w:val="false"/>
              <w:spacing w:lineRule="auto" w:line="240" w:before="0" w:after="40"/>
              <w:rPr/>
            </w:pPr>
            <w:r>
              <w:rPr>
                <w:rFonts w:eastAsia="Calibri" w:cs="Calibri"/>
                <w:b/>
                <w:i w:val="false"/>
                <w:sz w:val="20"/>
              </w:rPr>
              <w:t xml:space="preserve">Implementation: </w:t>
            </w:r>
            <w:r>
              <w:rPr>
                <w:rFonts w:eastAsia="Calibri" w:cs="Calibri"/>
                <w:b w:val="false"/>
                <w:i w:val="false"/>
                <w:sz w:val="20"/>
              </w:rPr>
              <w:t>Unauthorized use is identified through sign-in anomalies, device/software inventory, access reviews, audit logs, and boundary events.</w:t>
            </w:r>
          </w:p>
          <w:p>
            <w:pPr>
              <w:pStyle w:val="Normal"/>
              <w:keepNext w:val="false"/>
              <w:spacing w:lineRule="auto" w:line="240" w:before="0" w:after="0"/>
              <w:rPr/>
            </w:pPr>
            <w:r>
              <w:rPr>
                <w:rFonts w:eastAsia="Calibri" w:cs="Calibri"/>
                <w:b/>
                <w:i w:val="false"/>
                <w:sz w:val="20"/>
              </w:rPr>
              <w:t xml:space="preserve">Evidence / Test Expectations: </w:t>
            </w:r>
            <w:r>
              <w:rPr>
                <w:rFonts w:eastAsia="Calibri" w:cs="Calibri"/>
                <w:b w:val="false"/>
                <w:i w:val="false"/>
                <w:sz w:val="20"/>
              </w:rPr>
              <w:t>Account/sign-in, process, application, device-control, Defender, and UDM logs; unauthorized-use indicators; review/escalation record; denied/unauthorized activity test.</w:t>
            </w:r>
          </w:p>
        </w:tc>
      </w:tr>
    </w:tbl>
    <w:sectPr>
      <w:headerReference w:type="even" r:id="rId21"/>
      <w:headerReference w:type="default" r:id="rId22"/>
      <w:headerReference w:type="first" r:id="rId23"/>
      <w:footerReference w:type="even" r:id="rId24"/>
      <w:footerReference w:type="default" r:id="rId25"/>
      <w:footerReference w:type="first" r:id="rId26"/>
      <w:type w:val="nextPage"/>
      <w:pgSz w:orient="landscape" w:w="15840" w:h="12240"/>
      <w:pgMar w:left="504" w:right="504" w:gutter="0" w:header="360" w:top="936" w:footer="36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swiss"/>
    <w:pitch w:val="variable"/>
  </w:font>
  <w:font w:name="Cambria">
    <w:charset w:val="00" w:characterSet="iso-8859-1"/>
    <w:family w:val="swiss"/>
    <w:pitch w:val="variable"/>
  </w:font>
  <w:font w:name="Calibri">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968"/>
      <w:gridCol w:w="4967"/>
    </w:tblGrid>
    <w:tr>
      <w:trPr/>
      <w:tc>
        <w:tcPr>
          <w:tcW w:w="4968" w:type="dxa"/>
          <w:tcBorders/>
        </w:tcPr>
        <w:p>
          <w:pPr>
            <w:pStyle w:val="Normal"/>
            <w:spacing w:before="0" w:after="100"/>
            <w:rPr>
              <w:rFonts w:ascii="Calibri" w:hAnsi="Calibri" w:cs="Calibri" w:asciiTheme="majorHAnsi" w:cstheme="majorHAnsi" w:hAnsiTheme="majorHAnsi"/>
              <w:sz w:val="20"/>
              <w:szCs w:val="20"/>
            </w:rPr>
          </w:pPr>
          <w:r>
            <w:rPr>
              <w:rFonts w:eastAsia="Arial" w:cs="Calibri" w:cstheme="majorHAnsi"/>
              <w:color w:val="404040"/>
              <w:sz w:val="20"/>
              <w:szCs w:val="20"/>
            </w:rPr>
            <w:t>Controlled Document - Uncontrolled when printed</w:t>
          </w:r>
        </w:p>
      </w:tc>
      <w:tc>
        <w:tcPr>
          <w:tcW w:w="4967" w:type="dxa"/>
          <w:tcBorders/>
        </w:tcPr>
        <w:p>
          <w:pPr>
            <w:pStyle w:val="Normal"/>
            <w:spacing w:before="0" w:after="100"/>
            <w:jc w:val="end"/>
            <w:rPr>
              <w:rFonts w:ascii="Calibri" w:hAnsi="Calibri" w:cs="Calibri" w:asciiTheme="majorHAnsi" w:cstheme="majorHAnsi" w:hAnsiTheme="majorHAnsi"/>
              <w:sz w:val="20"/>
              <w:szCs w:val="20"/>
            </w:rPr>
          </w:pPr>
          <w:r>
            <w:rPr/>
            <w:fldChar w:fldCharType="begin"/>
          </w:r>
          <w:r>
            <w:rPr/>
            <w:instrText xml:space="preserve"> PAGE </w:instrText>
          </w:r>
          <w:r>
            <w:rPr/>
            <w:fldChar w:fldCharType="separate"/>
          </w:r>
          <w:r>
            <w:rPr/>
            <w:t>14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3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968"/>
      <w:gridCol w:w="4967"/>
    </w:tblGrid>
    <w:tr>
      <w:trPr/>
      <w:tc>
        <w:tcPr>
          <w:tcW w:w="4968" w:type="dxa"/>
          <w:tcBorders/>
        </w:tcPr>
        <w:p>
          <w:pPr>
            <w:pStyle w:val="Normal"/>
            <w:spacing w:before="0" w:after="100"/>
            <w:rPr>
              <w:rFonts w:ascii="Calibri" w:hAnsi="Calibri" w:cs="Calibri" w:asciiTheme="majorHAnsi" w:cstheme="majorHAnsi" w:hAnsiTheme="majorHAnsi"/>
              <w:sz w:val="20"/>
              <w:szCs w:val="20"/>
            </w:rPr>
          </w:pPr>
          <w:r>
            <w:rPr>
              <w:rFonts w:eastAsia="Arial" w:cs="Calibri" w:cstheme="majorHAnsi"/>
              <w:color w:val="404040"/>
              <w:sz w:val="20"/>
              <w:szCs w:val="20"/>
            </w:rPr>
            <w:t>Controlled Document - Uncontrolled when printed</w:t>
          </w:r>
        </w:p>
      </w:tc>
      <w:tc>
        <w:tcPr>
          <w:tcW w:w="4967" w:type="dxa"/>
          <w:tcBorders/>
        </w:tcPr>
        <w:p>
          <w:pPr>
            <w:pStyle w:val="Normal"/>
            <w:spacing w:before="0" w:after="100"/>
            <w:jc w:val="end"/>
            <w:rPr>
              <w:rFonts w:ascii="Calibri" w:hAnsi="Calibri" w:cs="Calibri" w:asciiTheme="majorHAnsi" w:cstheme="majorHAnsi" w:hAnsiTheme="majorHAnsi"/>
              <w:sz w:val="20"/>
              <w:szCs w:val="20"/>
            </w:rPr>
          </w:pPr>
          <w:r>
            <w:rPr/>
            <w:fldChar w:fldCharType="begin"/>
          </w:r>
          <w:r>
            <w:rPr/>
            <w:instrText xml:space="preserve"> PAGE </w:instrText>
          </w:r>
          <w:r>
            <w:rPr/>
            <w:fldChar w:fldCharType="separate"/>
          </w:r>
          <w:r>
            <w:rPr/>
            <w:t>14</w:t>
          </w:r>
          <w:r>
            <w:rPr/>
            <w:fldChar w:fldCharType="end"/>
          </w:r>
        </w:p>
      </w:tc>
    </w:tr>
  </w:tbl>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42</w:t>
          </w:r>
          <w:r>
            <w:rPr>
              <w:sz w:val="16"/>
              <w:color w:val="667085"/>
            </w:rPr>
            <w:fldChar w:fldCharType="end"/>
          </w:r>
        </w:p>
      </w:tc>
    </w:tr>
  </w:tbl>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42</w:t>
          </w:r>
          <w:r>
            <w:rPr>
              <w:sz w:val="16"/>
              <w:color w:val="667085"/>
            </w:rPr>
            <w:fldChar w:fldCharType="end"/>
          </w:r>
        </w:p>
      </w:tc>
    </w:tr>
  </w:tbl>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44</w:t>
          </w:r>
          <w:r>
            <w:rPr>
              <w:sz w:val="16"/>
              <w:color w:val="667085"/>
            </w:rPr>
            <w:fldChar w:fldCharType="end"/>
          </w:r>
        </w:p>
      </w:tc>
    </w:tr>
  </w:tbl>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44</w:t>
          </w:r>
          <w:r>
            <w:rPr>
              <w:sz w:val="16"/>
              <w:color w:val="667085"/>
            </w:rPr>
            <w:fldChar w:fldCharType="end"/>
          </w:r>
        </w:p>
      </w:tc>
    </w:tr>
  </w:tbl>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104</w:t>
          </w:r>
          <w:r>
            <w:rPr>
              <w:sz w:val="16"/>
              <w:color w:val="667085"/>
            </w:rPr>
            <w:fldChar w:fldCharType="end"/>
          </w:r>
        </w:p>
      </w:tc>
    </w:tr>
  </w:tbl>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6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8351"/>
      <w:gridCol w:w="2015"/>
    </w:tblGrid>
    <w:tr>
      <w:trPr/>
      <w:tc>
        <w:tcPr>
          <w:tcW w:w="8351" w:type="dxa"/>
          <w:tcBorders/>
        </w:tcPr>
        <w:p>
          <w:pPr>
            <w:pStyle w:val="Normal"/>
            <w:widowControl/>
            <w:suppressAutoHyphens w:val="true"/>
            <w:bidi w:val="0"/>
            <w:spacing w:lineRule="auto" w:line="259" w:before="0" w:after="100"/>
            <w:jc w:val="start"/>
            <w:rPr/>
          </w:pPr>
          <w:r>
            <w:rPr>
              <w:color w:val="667085"/>
              <w:sz w:val="15"/>
            </w:rPr>
            <w:t>Visionary Technology Consultants, LLC | Confidential - Assessment Support</w:t>
          </w:r>
        </w:p>
      </w:tc>
      <w:tc>
        <w:tcPr>
          <w:tcW w:w="2015" w:type="dxa"/>
          <w:tcBorders/>
        </w:tcPr>
        <w:p>
          <w:pPr>
            <w:pStyle w:val="Normal"/>
            <w:spacing w:before="0" w:after="100"/>
            <w:jc w:val="end"/>
            <w:rPr/>
          </w:pPr>
          <w:r>
            <w:rPr>
              <w:color w:val="667085"/>
              <w:sz w:val="16"/>
            </w:rPr>
            <w:t xml:space="preserve">Page </w:t>
          </w:r>
          <w:r>
            <w:rPr>
              <w:color w:val="667085"/>
              <w:sz w:val="16"/>
            </w:rPr>
            <w:fldChar w:fldCharType="begin"/>
          </w:r>
          <w:r>
            <w:rPr>
              <w:sz w:val="16"/>
              <w:color w:val="667085"/>
            </w:rPr>
            <w:instrText xml:space="preserve"> PAGE </w:instrText>
          </w:r>
          <w:r>
            <w:rPr>
              <w:sz w:val="16"/>
              <w:color w:val="667085"/>
            </w:rPr>
            <w:fldChar w:fldCharType="separate"/>
          </w:r>
          <w:r>
            <w:rPr>
              <w:sz w:val="16"/>
              <w:color w:val="667085"/>
            </w:rPr>
            <w:t>104</w:t>
          </w:r>
          <w:r>
            <w:rPr>
              <w:sz w:val="16"/>
              <w:color w:val="667085"/>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s="Calibri" w:asciiTheme="majorHAnsi" w:cstheme="majorHAnsi" w:hAnsiTheme="majorHAnsi"/>
        <w:sz w:val="20"/>
        <w:szCs w:val="20"/>
      </w:rPr>
    </w:pPr>
    <w:r>
      <w:rPr>
        <w:rFonts w:cs="Calibri" w:cstheme="majorHAnsi"/>
        <w:sz w:val="20"/>
        <w:szCs w:val="20"/>
      </w:rPr>
      <w:t>System Security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cs="Calibri" w:asciiTheme="majorHAnsi" w:cstheme="majorHAnsi" w:hAnsiTheme="majorHAnsi"/>
        <w:sz w:val="20"/>
        <w:szCs w:val="20"/>
      </w:rPr>
    </w:pPr>
    <w:r>
      <w:rPr>
        <w:rFonts w:cs="Calibri" w:cstheme="majorHAnsi"/>
        <w:sz w:val="20"/>
        <w:szCs w:val="20"/>
      </w:rPr>
      <w:t>System Security Plan</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C7D7E4"/>
      </w:pBdr>
      <w:jc w:val="end"/>
      <w:rPr/>
    </w:pPr>
    <w:r>
      <w:rPr>
        <w:color w:val="667085"/>
        <w:sz w:val="15"/>
      </w:rPr>
      <w:t>VTC-IMS-SSP-993 | CMMC Level 2 Assessment Support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00"/>
      <w:jc w:val="start"/>
    </w:pPr>
    <w:rPr>
      <w:rFonts w:ascii="Calibri" w:hAnsi="Calibri" w:eastAsia="Calibri" w:cs="Calibri"/>
      <w:color w:val="1F2937"/>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0D345A"/>
      <w:sz w:val="32"/>
      <w:szCs w:val="28"/>
    </w:rPr>
  </w:style>
  <w:style w:type="paragraph" w:styleId="Heading2">
    <w:name w:val="heading 2"/>
    <w:basedOn w:val="Normal"/>
    <w:next w:val="Normal"/>
    <w:link w:val="Heading2Char"/>
    <w:uiPriority w:val="9"/>
    <w:unhideWhenUsed/>
    <w:qFormat/>
    <w:rsid w:val="00fc693f"/>
    <w:pPr>
      <w:keepNext w:val="true"/>
      <w:keepLines/>
      <w:spacing w:before="180" w:after="60"/>
      <w:outlineLvl w:val="1"/>
    </w:pPr>
    <w:rPr>
      <w:rFonts w:ascii="Calibri" w:hAnsi="Calibri" w:eastAsia="" w:cs="" w:asciiTheme="majorHAnsi" w:cstheme="majorBidi" w:eastAsiaTheme="majorEastAsia" w:hAnsiTheme="majorHAnsi"/>
      <w:b/>
      <w:bCs/>
      <w:color w:val="0B6FB8"/>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 w:cs="" w:asciiTheme="majorHAnsi" w:cstheme="majorBidi" w:eastAsiaTheme="majorEastAsia" w:hAnsiTheme="majorHAnsi"/>
      <w:b/>
      <w:bCs/>
      <w:color w:val="0D345A"/>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rFonts w:ascii="Calibri" w:hAnsi="Calibri" w:eastAsia="Calibri" w:cs="Calibri"/>
      <w:sz w:val="20"/>
    </w:rPr>
  </w:style>
  <w:style w:type="character" w:styleId="HeaderChar" w:customStyle="1">
    <w:name w:val="Header Char"/>
    <w:basedOn w:val="DefaultParagraphFont"/>
    <w:link w:val="Header"/>
    <w:uiPriority w:val="99"/>
    <w:qFormat/>
    <w:rsid w:val="00e618bf"/>
    <w:rPr>
      <w:rFonts w:ascii="Calibri" w:hAnsi="Calibri" w:eastAsia="Calibri" w:cs="Calibri"/>
    </w:rPr>
  </w:style>
  <w:style w:type="character" w:styleId="FooterChar" w:customStyle="1">
    <w:name w:val="Footer Char"/>
    <w:basedOn w:val="DefaultParagraphFont"/>
    <w:link w:val="Footer"/>
    <w:uiPriority w:val="99"/>
    <w:qFormat/>
    <w:rsid w:val="00e618bf"/>
    <w:rPr>
      <w:rFonts w:ascii="Calibri" w:hAnsi="Calibri" w:eastAsia="Calibri" w:cs="Calibri"/>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Calibri" w:hAnsi="Calibri" w:eastAsia="Calibri" w:cs="Calibri"/>
    </w:rPr>
  </w:style>
  <w:style w:type="character" w:styleId="BodyText2Char" w:customStyle="1">
    <w:name w:val="Body Text 2 Char"/>
    <w:basedOn w:val="DefaultParagraphFont"/>
    <w:link w:val="BodyText2"/>
    <w:uiPriority w:val="99"/>
    <w:qFormat/>
    <w:rsid w:val="00aa1d8d"/>
    <w:rPr>
      <w:rFonts w:ascii="Calibri" w:hAnsi="Calibri" w:eastAsia="Calibri" w:cs="Calibri"/>
    </w:rPr>
  </w:style>
  <w:style w:type="character" w:styleId="BodyText3Char" w:customStyle="1">
    <w:name w:val="Body Text 3 Char"/>
    <w:basedOn w:val="DefaultParagraphFont"/>
    <w:link w:val="BodyText3"/>
    <w:uiPriority w:val="99"/>
    <w:qFormat/>
    <w:rsid w:val="00aa1d8d"/>
    <w:rPr>
      <w:rFonts w:ascii="Calibri" w:hAnsi="Calibri" w:eastAsia="Calibri" w:cs="Calibri"/>
      <w:sz w:val="16"/>
      <w:szCs w:val="16"/>
    </w:rPr>
  </w:style>
  <w:style w:type="character" w:styleId="MacroTextChar" w:customStyle="1">
    <w:name w:val="Macro Text Char"/>
    <w:basedOn w:val="DefaultParagraphFont"/>
    <w:link w:val="MacroText"/>
    <w:uiPriority w:val="99"/>
    <w:qFormat/>
    <w:rsid w:val="0029639d"/>
    <w:rPr>
      <w:rFonts w:ascii="Calibri" w:hAnsi="Calibri" w:eastAsia="Calibri" w:cs="Calibri"/>
      <w:sz w:val="20"/>
      <w:szCs w:val="20"/>
    </w:rPr>
  </w:style>
  <w:style w:type="character" w:styleId="QuoteChar" w:customStyle="1">
    <w:name w:val="Quote Char"/>
    <w:basedOn w:val="DefaultParagraphFont"/>
    <w:link w:val="Quote"/>
    <w:uiPriority w:val="29"/>
    <w:qFormat/>
    <w:rsid w:val="00fc693f"/>
    <w:rPr>
      <w:rFonts w:ascii="Calibri" w:hAnsi="Calibri" w:eastAsia="Calibri" w:cs="Calibri"/>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rFonts w:ascii="Calibri" w:hAnsi="Calibri" w:eastAsia="Calibri" w:cs="Calibri"/>
      <w:b/>
      <w:bCs/>
    </w:rPr>
  </w:style>
  <w:style w:type="character" w:styleId="Emphasis">
    <w:name w:val="Emphasis"/>
    <w:basedOn w:val="DefaultParagraphFont"/>
    <w:uiPriority w:val="20"/>
    <w:qFormat/>
    <w:rsid w:val="00fc693f"/>
    <w:rPr>
      <w:rFonts w:ascii="Calibri" w:hAnsi="Calibri" w:eastAsia="Calibri" w:cs="Calibri"/>
      <w:i/>
      <w:iCs/>
    </w:rPr>
  </w:style>
  <w:style w:type="character" w:styleId="IntenseQuoteChar" w:customStyle="1">
    <w:name w:val="Intense Quote Char"/>
    <w:basedOn w:val="DefaultParagraphFont"/>
    <w:link w:val="IntenseQuote"/>
    <w:uiPriority w:val="30"/>
    <w:qFormat/>
    <w:rsid w:val="00fc693f"/>
    <w:rPr>
      <w:rFonts w:ascii="Calibri" w:hAnsi="Calibri" w:eastAsia="Calibri" w:cs="Calibri"/>
      <w:b/>
      <w:bCs/>
      <w:i/>
      <w:iCs/>
      <w:color w:themeColor="accent1" w:val="4F81BD"/>
    </w:rPr>
  </w:style>
  <w:style w:type="character" w:styleId="SubtleEmphasis">
    <w:name w:val="Subtle Emphasis"/>
    <w:basedOn w:val="DefaultParagraphFont"/>
    <w:uiPriority w:val="19"/>
    <w:qFormat/>
    <w:rsid w:val="00fc693f"/>
    <w:rPr>
      <w:rFonts w:ascii="Calibri" w:hAnsi="Calibri" w:eastAsia="Calibri" w:cs="Calibri"/>
      <w:i/>
      <w:iCs/>
      <w:color w:themeColor="text1" w:themeTint="7f" w:val="808080"/>
    </w:rPr>
  </w:style>
  <w:style w:type="character" w:styleId="IntenseEmphasis">
    <w:name w:val="Intense Emphasis"/>
    <w:basedOn w:val="DefaultParagraphFont"/>
    <w:uiPriority w:val="21"/>
    <w:qFormat/>
    <w:rsid w:val="00fc693f"/>
    <w:rPr>
      <w:rFonts w:ascii="Calibri" w:hAnsi="Calibri" w:eastAsia="Calibri" w:cs="Calibri"/>
      <w:b/>
      <w:bCs/>
      <w:i/>
      <w:iCs/>
      <w:color w:themeColor="accent1" w:val="4F81BD"/>
    </w:rPr>
  </w:style>
  <w:style w:type="character" w:styleId="SubtleReference">
    <w:name w:val="Subtle Reference"/>
    <w:basedOn w:val="DefaultParagraphFont"/>
    <w:uiPriority w:val="31"/>
    <w:qFormat/>
    <w:rsid w:val="00fc693f"/>
    <w:rPr>
      <w:rFonts w:ascii="Calibri" w:hAnsi="Calibri" w:eastAsia="Calibri" w:cs="Calibri"/>
      <w:smallCaps/>
      <w:color w:themeColor="accent2" w:val="C0504D"/>
      <w:u w:val="single"/>
    </w:rPr>
  </w:style>
  <w:style w:type="character" w:styleId="IntenseReference">
    <w:name w:val="Intense Reference"/>
    <w:basedOn w:val="DefaultParagraphFont"/>
    <w:uiPriority w:val="32"/>
    <w:qFormat/>
    <w:rsid w:val="00fc693f"/>
    <w:rPr>
      <w:rFonts w:ascii="Calibri" w:hAnsi="Calibri" w:eastAsia="Calibri" w:cs="Calibri"/>
      <w:b/>
      <w:bCs/>
      <w:smallCaps/>
      <w:color w:themeColor="accent2" w:val="C0504D"/>
      <w:spacing w:val="5"/>
      <w:u w:val="single"/>
    </w:rPr>
  </w:style>
  <w:style w:type="character" w:styleId="BookTitle">
    <w:name w:val="Book Title"/>
    <w:basedOn w:val="DefaultParagraphFont"/>
    <w:uiPriority w:val="33"/>
    <w:qFormat/>
    <w:rsid w:val="00fc693f"/>
    <w:rPr>
      <w:rFonts w:ascii="Calibri" w:hAnsi="Calibri" w:eastAsia="Calibri" w:cs="Calibri"/>
      <w:b/>
      <w:bCs/>
      <w:smallCaps/>
      <w:spacing w:val="5"/>
    </w:rPr>
  </w:style>
  <w:style w:type="character" w:styleId="Hyperlink">
    <w:name w:val="Hyperlink"/>
    <w:basedOn w:val="DefaultParagraphFont"/>
    <w:uiPriority w:val="99"/>
    <w:unhideWhenUsed/>
    <w:rsid w:val="005e4ec7"/>
    <w:rPr>
      <w:rFonts w:ascii="Calibri" w:hAnsi="Calibri" w:eastAsia="Calibri" w:cs="Calibri"/>
      <w:color w:themeColor="hyperlink" w:val="0000FF"/>
      <w:u w:val="single"/>
    </w:rPr>
  </w:style>
  <w:style w:type="character" w:styleId="IndexLink" w:customStyle="1">
    <w:name w:val="Index Link"/>
    <w:qFormat/>
    <w:rPr>
      <w:rFonts w:ascii="Calibri" w:hAnsi="Calibri" w:eastAsia="Calibri" w:cs="Calibri"/>
    </w:rPr>
  </w:style>
  <w:style w:type="paragraph" w:styleId="Heading" w:customStyle="1">
    <w:name w:val="Heading"/>
    <w:basedOn w:val="Normal"/>
    <w:next w:val="BodyText"/>
    <w:qFormat/>
    <w:pPr>
      <w:keepNext w:val="true"/>
      <w:spacing w:before="240" w:after="120"/>
    </w:pPr>
    <w:rPr>
      <w:rFonts w:ascii="Calibri" w:hAnsi="Calibri" w:eastAsia="Calibri" w:cs="Calibri"/>
      <w:sz w:val="28"/>
      <w:szCs w:val="28"/>
    </w:rPr>
  </w:style>
  <w:style w:type="paragraph" w:styleId="BodyText">
    <w:name w:val="Body Text"/>
    <w:basedOn w:val="Normal"/>
    <w:link w:val="BodyTextChar"/>
    <w:uiPriority w:val="99"/>
    <w:unhideWhenUsed/>
    <w:rsid w:val="00aa1d8d"/>
    <w:pPr>
      <w:spacing w:before="0" w:after="120"/>
    </w:pPr>
    <w:rPr>
      <w:rFonts w:ascii="Calibri" w:hAnsi="Calibri" w:eastAsia="Calibri" w:cs="Calibri"/>
    </w:rPr>
  </w:style>
  <w:style w:type="paragraph" w:styleId="List">
    <w:name w:val="List"/>
    <w:basedOn w:val="Normal"/>
    <w:uiPriority w:val="99"/>
    <w:unhideWhenUsed/>
    <w:rsid w:val="00aa1d8d"/>
    <w:pPr>
      <w:spacing w:before="0" w:after="100"/>
      <w:ind w:hanging="360" w:start="360"/>
      <w:contextualSpacing/>
    </w:pPr>
    <w:rPr>
      <w:rFonts w:ascii="Calibri" w:hAnsi="Calibri" w:eastAsia="Calibri" w:cs="Calibri"/>
    </w:rPr>
  </w:style>
  <w:style w:type="paragraph" w:styleId="Caption">
    <w:name w:val="caption"/>
    <w:basedOn w:val="Normal"/>
    <w:next w:val="Normal"/>
    <w:uiPriority w:val="35"/>
    <w:semiHidden/>
    <w:unhideWhenUsed/>
    <w:qFormat/>
    <w:rsid w:val="00fc693f"/>
    <w:pPr>
      <w:spacing w:lineRule="auto" w:line="240"/>
    </w:pPr>
    <w:rPr>
      <w:rFonts w:ascii="Calibri" w:hAnsi="Calibri" w:eastAsia="Calibri" w:cs="Calibri"/>
      <w:b/>
      <w:bCs/>
      <w:color w:themeColor="accent1" w:val="4F81BD"/>
      <w:sz w:val="20"/>
      <w:szCs w:val="18"/>
    </w:rPr>
  </w:style>
  <w:style w:type="paragraph" w:styleId="Index" w:customStyle="1">
    <w:name w:val="Index"/>
    <w:basedOn w:val="Normal"/>
    <w:qFormat/>
    <w:pPr>
      <w:suppressLineNumbers/>
    </w:pPr>
    <w:rPr>
      <w:rFonts w:ascii="Calibri" w:hAnsi="Calibri" w:eastAsia="Calibri" w:cs="Calibri"/>
    </w:rPr>
  </w:style>
  <w:style w:type="paragraph" w:styleId="HeaderandFooter" w:customStyle="1">
    <w:name w:val="Header and Footer"/>
    <w:basedOn w:val="Normal"/>
    <w:qFormat/>
    <w:pPr/>
    <w:rPr>
      <w:rFonts w:ascii="Calibri" w:hAnsi="Calibri" w:eastAsia="Calibri" w:cs="Calibri"/>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eastAsia="Calibri" w:cs="Calibri"/>
    </w:rPr>
  </w:style>
  <w:style w:type="paragraph" w:styleId="NoSpacing">
    <w:name w:val="No Spacing"/>
    <w:uiPriority w:val="1"/>
    <w:qFormat/>
    <w:rsid w:val="00fc693f"/>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 w:cs="" w:asciiTheme="majorHAnsi" w:cstheme="majorBidi" w:eastAsiaTheme="majorEastAsia" w:hAnsiTheme="majorHAnsi"/>
      <w:b/>
      <w:color w:val="0D345A"/>
      <w:spacing w:val="5"/>
      <w:kern w:val="2"/>
      <w:sz w:val="56"/>
      <w:szCs w:val="52"/>
    </w:rPr>
  </w:style>
  <w:style w:type="paragraph" w:styleId="Subtitle">
    <w:name w:val="Subtitle"/>
    <w:basedOn w:val="Normal"/>
    <w:next w:val="Normal"/>
    <w:link w:val="SubtitleChar"/>
    <w:uiPriority w:val="11"/>
    <w:qFormat/>
    <w:rsid w:val="00fc693f"/>
    <w:pPr>
      <w:keepNext w:val="true"/>
      <w:spacing w:before="0" w:after="120"/>
    </w:pPr>
    <w:rPr>
      <w:rFonts w:ascii="Calibri" w:hAnsi="Calibri" w:eastAsia="" w:cs="" w:asciiTheme="majorHAnsi" w:cstheme="majorBidi" w:eastAsiaTheme="majorEastAsia" w:hAnsiTheme="majorHAnsi"/>
      <w:i/>
      <w:iCs/>
      <w:color w:val="667085"/>
      <w:spacing w:val="15"/>
      <w:sz w:val="26"/>
      <w:szCs w:val="24"/>
    </w:rPr>
  </w:style>
  <w:style w:type="paragraph" w:styleId="ListParagraph">
    <w:name w:val="List Paragraph"/>
    <w:basedOn w:val="Normal"/>
    <w:uiPriority w:val="34"/>
    <w:qFormat/>
    <w:rsid w:val="00fc693f"/>
    <w:pPr>
      <w:spacing w:before="0" w:after="100"/>
      <w:ind w:start="720"/>
      <w:contextualSpacing/>
    </w:pPr>
    <w:rPr>
      <w:rFonts w:ascii="Calibri" w:hAnsi="Calibri" w:eastAsia="Calibri" w:cs="Calibri"/>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eastAsia="Calibri" w:cs="Calibri"/>
    </w:rPr>
  </w:style>
  <w:style w:type="paragraph" w:styleId="BodyText3">
    <w:name w:val="Body Text 3"/>
    <w:basedOn w:val="Normal"/>
    <w:link w:val="BodyText3Char"/>
    <w:uiPriority w:val="99"/>
    <w:unhideWhenUsed/>
    <w:qFormat/>
    <w:rsid w:val="00aa1d8d"/>
    <w:pPr>
      <w:spacing w:before="0" w:after="120"/>
    </w:pPr>
    <w:rPr>
      <w:rFonts w:ascii="Calibri" w:hAnsi="Calibri" w:eastAsia="Calibri" w:cs="Calibri"/>
      <w:sz w:val="16"/>
      <w:szCs w:val="16"/>
    </w:rPr>
  </w:style>
  <w:style w:type="paragraph" w:styleId="List2">
    <w:name w:val="List 2"/>
    <w:basedOn w:val="Normal"/>
    <w:uiPriority w:val="99"/>
    <w:unhideWhenUsed/>
    <w:qFormat/>
    <w:rsid w:val="00326f90"/>
    <w:pPr>
      <w:spacing w:before="0" w:after="100"/>
      <w:ind w:hanging="360" w:start="720"/>
      <w:contextualSpacing/>
    </w:pPr>
    <w:rPr>
      <w:rFonts w:ascii="Calibri" w:hAnsi="Calibri" w:eastAsia="Calibri" w:cs="Calibri"/>
    </w:rPr>
  </w:style>
  <w:style w:type="paragraph" w:styleId="List3">
    <w:name w:val="List 3"/>
    <w:basedOn w:val="Normal"/>
    <w:uiPriority w:val="99"/>
    <w:unhideWhenUsed/>
    <w:qFormat/>
    <w:rsid w:val="00326f90"/>
    <w:pPr>
      <w:spacing w:before="0" w:after="100"/>
      <w:ind w:hanging="360" w:start="1080"/>
      <w:contextualSpacing/>
    </w:pPr>
    <w:rPr>
      <w:rFonts w:ascii="Calibri" w:hAnsi="Calibri" w:eastAsia="Calibri" w:cs="Calibri"/>
    </w:rPr>
  </w:style>
  <w:style w:type="paragraph" w:styleId="ListBullet">
    <w:name w:val="List Bullet"/>
    <w:basedOn w:val="Normal"/>
    <w:uiPriority w:val="99"/>
    <w:unhideWhenUsed/>
    <w:rsid w:val="00326f90"/>
    <w:pPr>
      <w:numPr>
        <w:ilvl w:val="0"/>
        <w:numId w:val="1"/>
      </w:numPr>
      <w:spacing w:before="0" w:after="100"/>
      <w:contextualSpacing/>
    </w:pPr>
    <w:rPr>
      <w:rFonts w:ascii="Calibri" w:hAnsi="Calibri" w:eastAsia="Calibri" w:cs="Calibri"/>
      <w:sz w:val="20"/>
    </w:rPr>
  </w:style>
  <w:style w:type="paragraph" w:styleId="ListBullet2">
    <w:name w:val="List Bullet 2"/>
    <w:basedOn w:val="Normal"/>
    <w:uiPriority w:val="99"/>
    <w:unhideWhenUsed/>
    <w:rsid w:val="00326f90"/>
    <w:pPr>
      <w:numPr>
        <w:ilvl w:val="0"/>
        <w:numId w:val="2"/>
      </w:numPr>
      <w:spacing w:before="0" w:after="100"/>
      <w:contextualSpacing/>
    </w:pPr>
    <w:rPr>
      <w:rFonts w:ascii="Calibri" w:hAnsi="Calibri" w:eastAsia="Calibri" w:cs="Calibri"/>
    </w:rPr>
  </w:style>
  <w:style w:type="paragraph" w:styleId="ListBullet3">
    <w:name w:val="List Bullet 3"/>
    <w:basedOn w:val="Normal"/>
    <w:uiPriority w:val="99"/>
    <w:unhideWhenUsed/>
    <w:rsid w:val="00326f90"/>
    <w:pPr>
      <w:numPr>
        <w:ilvl w:val="0"/>
        <w:numId w:val="3"/>
      </w:numPr>
      <w:spacing w:before="0" w:after="100"/>
      <w:contextualSpacing/>
    </w:pPr>
    <w:rPr>
      <w:rFonts w:ascii="Calibri" w:hAnsi="Calibri" w:eastAsia="Calibri" w:cs="Calibri"/>
    </w:rPr>
  </w:style>
  <w:style w:type="paragraph" w:styleId="ListNumber">
    <w:name w:val="List Number"/>
    <w:basedOn w:val="Normal"/>
    <w:uiPriority w:val="99"/>
    <w:unhideWhenUsed/>
    <w:rsid w:val="00326f90"/>
    <w:pPr>
      <w:numPr>
        <w:ilvl w:val="0"/>
        <w:numId w:val="4"/>
      </w:numPr>
      <w:spacing w:before="0" w:after="100"/>
      <w:contextualSpacing/>
    </w:pPr>
    <w:rPr>
      <w:rFonts w:ascii="Calibri" w:hAnsi="Calibri" w:eastAsia="Calibri" w:cs="Calibri"/>
    </w:rPr>
  </w:style>
  <w:style w:type="paragraph" w:styleId="ListNumber2">
    <w:name w:val="List Number 2"/>
    <w:basedOn w:val="Normal"/>
    <w:uiPriority w:val="99"/>
    <w:unhideWhenUsed/>
    <w:rsid w:val="0029639d"/>
    <w:pPr>
      <w:numPr>
        <w:ilvl w:val="0"/>
        <w:numId w:val="5"/>
      </w:numPr>
      <w:spacing w:before="0" w:after="100"/>
      <w:contextualSpacing/>
    </w:pPr>
    <w:rPr>
      <w:rFonts w:ascii="Calibri" w:hAnsi="Calibri" w:eastAsia="Calibri" w:cs="Calibri"/>
    </w:rPr>
  </w:style>
  <w:style w:type="paragraph" w:styleId="ListNumber3">
    <w:name w:val="List Number 3"/>
    <w:basedOn w:val="Normal"/>
    <w:uiPriority w:val="99"/>
    <w:unhideWhenUsed/>
    <w:rsid w:val="0029639d"/>
    <w:pPr>
      <w:numPr>
        <w:ilvl w:val="0"/>
        <w:numId w:val="6"/>
      </w:numPr>
      <w:spacing w:before="0" w:after="100"/>
      <w:contextualSpacing/>
    </w:pPr>
    <w:rPr>
      <w:rFonts w:ascii="Calibri" w:hAnsi="Calibri" w:eastAsia="Calibri" w:cs="Calibri"/>
    </w:rPr>
  </w:style>
  <w:style w:type="paragraph" w:styleId="ListContinue">
    <w:name w:val="List Continue"/>
    <w:basedOn w:val="Normal"/>
    <w:uiPriority w:val="99"/>
    <w:unhideWhenUsed/>
    <w:rsid w:val="0029639d"/>
    <w:pPr>
      <w:spacing w:before="0" w:after="120"/>
      <w:ind w:start="360"/>
      <w:contextualSpacing/>
    </w:pPr>
    <w:rPr>
      <w:rFonts w:ascii="Calibri" w:hAnsi="Calibri" w:eastAsia="Calibri" w:cs="Calibri"/>
    </w:rPr>
  </w:style>
  <w:style w:type="paragraph" w:styleId="ListContinue2">
    <w:name w:val="List Continue 2"/>
    <w:basedOn w:val="Normal"/>
    <w:uiPriority w:val="99"/>
    <w:unhideWhenUsed/>
    <w:rsid w:val="0029639d"/>
    <w:pPr>
      <w:spacing w:before="0" w:after="120"/>
      <w:ind w:start="720"/>
      <w:contextualSpacing/>
    </w:pPr>
    <w:rPr>
      <w:rFonts w:ascii="Calibri" w:hAnsi="Calibri" w:eastAsia="Calibri" w:cs="Calibri"/>
    </w:rPr>
  </w:style>
  <w:style w:type="paragraph" w:styleId="ListContinue3">
    <w:name w:val="List Continue 3"/>
    <w:basedOn w:val="Normal"/>
    <w:uiPriority w:val="99"/>
    <w:unhideWhenUsed/>
    <w:rsid w:val="0029639d"/>
    <w:pPr>
      <w:spacing w:before="0" w:after="120"/>
      <w:ind w:start="1080"/>
      <w:contextualSpacing/>
    </w:pPr>
    <w:rPr>
      <w:rFonts w:ascii="Calibri" w:hAnsi="Calibri" w:eastAsia="Calibri" w:cs="Calibri"/>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Calibri" w:cs="Calibri"/>
      <w:color w:val="auto"/>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eastAsia="Calibri" w:cs="Calibri"/>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Calibri" w:hAnsi="Calibri" w:eastAsia="Calibri" w:cs="Calibri"/>
      <w:b/>
      <w:bCs/>
      <w:i/>
      <w:iCs/>
      <w:color w:themeColor="accent1" w:val="4F81BD"/>
    </w:rPr>
  </w:style>
  <w:style w:type="paragraph" w:styleId="IndexHeading">
    <w:name w:val="index heading"/>
    <w:basedOn w:val="Heading"/>
    <w:pPr/>
    <w:rPr>
      <w:rFonts w:ascii="Calibri" w:hAnsi="Calibri" w:eastAsia="Calibri" w:cs="Calibri"/>
    </w:rPr>
  </w:style>
  <w:style w:type="paragraph" w:styleId="TOCHeading">
    <w:name w:val="TOC Heading"/>
    <w:basedOn w:val="Heading1"/>
    <w:next w:val="Normal"/>
    <w:uiPriority w:val="39"/>
    <w:unhideWhenUsed/>
    <w:qFormat/>
    <w:rsid w:val="00fc693f"/>
    <w:pPr>
      <w:outlineLvl w:val="9"/>
    </w:pPr>
    <w:rPr>
      <w:rFonts w:ascii="Calibri" w:hAnsi="Calibri" w:eastAsia="Calibri" w:cs="Calibri"/>
    </w:rPr>
  </w:style>
  <w:style w:type="paragraph" w:styleId="VTCTOC1" w:customStyle="1">
    <w:name w:val="VTC TOC 1"/>
    <w:qFormat/>
    <w:pPr>
      <w:widowControl/>
      <w:tabs>
        <w:tab w:val="clear" w:pos="720"/>
        <w:tab w:val="right" w:pos="8784" w:leader="dot"/>
      </w:tabs>
      <w:suppressAutoHyphens w:val="true"/>
      <w:bidi w:val="0"/>
      <w:spacing w:lineRule="auto" w:line="276" w:before="0" w:after="40"/>
      <w:jc w:val="start"/>
    </w:pPr>
    <w:rPr>
      <w:rFonts w:ascii="Calibri" w:hAnsi="Calibri" w:eastAsia="Calibri" w:cs="Calibri"/>
      <w:b/>
      <w:color w:val="auto"/>
      <w:kern w:val="0"/>
      <w:sz w:val="22"/>
      <w:szCs w:val="22"/>
      <w:lang w:val="en-US" w:eastAsia="en-US" w:bidi="ar-SA"/>
    </w:rPr>
  </w:style>
  <w:style w:type="paragraph" w:styleId="VTCTOC2" w:customStyle="1">
    <w:name w:val="VTC TOC 2"/>
    <w:qFormat/>
    <w:pPr>
      <w:widowControl/>
      <w:tabs>
        <w:tab w:val="clear" w:pos="720"/>
        <w:tab w:val="right" w:pos="8784" w:leader="dot"/>
      </w:tabs>
      <w:suppressAutoHyphens w:val="true"/>
      <w:bidi w:val="0"/>
      <w:spacing w:lineRule="auto" w:line="276" w:before="0" w:after="40"/>
      <w:ind w:start="360"/>
      <w:jc w:val="start"/>
    </w:pPr>
    <w:rPr>
      <w:rFonts w:ascii="Calibri" w:hAnsi="Calibri" w:eastAsia="Calibri" w:cs="Calibri"/>
      <w:color w:val="auto"/>
      <w:kern w:val="0"/>
      <w:sz w:val="20"/>
      <w:szCs w:val="22"/>
      <w:lang w:val="en-US" w:eastAsia="en-US" w:bidi="ar-SA"/>
    </w:rPr>
  </w:style>
  <w:style w:type="paragraph" w:styleId="VTCTOC3" w:customStyle="1">
    <w:name w:val="VTC TOC 3"/>
    <w:qFormat/>
    <w:pPr>
      <w:widowControl/>
      <w:tabs>
        <w:tab w:val="clear" w:pos="720"/>
        <w:tab w:val="right" w:pos="8784" w:leader="dot"/>
      </w:tabs>
      <w:suppressAutoHyphens w:val="true"/>
      <w:bidi w:val="0"/>
      <w:spacing w:lineRule="auto" w:line="276" w:before="0" w:after="40"/>
      <w:ind w:start="720"/>
      <w:jc w:val="start"/>
    </w:pPr>
    <w:rPr>
      <w:rFonts w:ascii="Calibri" w:hAnsi="Calibri" w:eastAsia="Calibri" w:cs="Calibri"/>
      <w:color w:val="auto"/>
      <w:kern w:val="0"/>
      <w:sz w:val="19"/>
      <w:szCs w:val="22"/>
      <w:lang w:val="en-US" w:eastAsia="en-US" w:bidi="ar-SA"/>
    </w:rPr>
  </w:style>
  <w:style w:type="paragraph" w:styleId="SmallNote" w:customStyle="1">
    <w:name w:val="Small Note"/>
    <w:qFormat/>
    <w:pPr>
      <w:widowControl/>
      <w:suppressAutoHyphens w:val="true"/>
      <w:bidi w:val="0"/>
      <w:spacing w:lineRule="auto" w:line="276" w:before="0" w:after="40"/>
      <w:jc w:val="start"/>
    </w:pPr>
    <w:rPr>
      <w:rFonts w:ascii="Calibri" w:hAnsi="Calibri" w:eastAsia="Calibri" w:cs="Calibri"/>
      <w:color w:val="667085"/>
      <w:kern w:val="0"/>
      <w:sz w:val="16"/>
      <w:szCs w:val="22"/>
      <w:lang w:val="en-US" w:eastAsia="en-US" w:bidi="ar-SA"/>
    </w:rPr>
  </w:style>
  <w:style w:type="paragraph" w:styleId="Callout" w:customStyle="1">
    <w:name w:val="Callout"/>
    <w:qFormat/>
    <w:pPr>
      <w:widowControl/>
      <w:suppressAutoHyphens w:val="true"/>
      <w:bidi w:val="0"/>
      <w:spacing w:lineRule="auto" w:line="276" w:before="120" w:after="120"/>
      <w:ind w:start="216" w:end="216"/>
      <w:jc w:val="start"/>
    </w:pPr>
    <w:rPr>
      <w:rFonts w:ascii="Calibri" w:hAnsi="Calibri" w:eastAsia="Calibri" w:cs="Calibri"/>
      <w:b/>
      <w:color w:val="0D345A"/>
      <w:kern w:val="0"/>
      <w:sz w:val="19"/>
      <w:szCs w:val="22"/>
      <w:lang w:val="en-US" w:eastAsia="en-US" w:bidi="ar-SA"/>
    </w:rPr>
  </w:style>
  <w:style w:type="paragraph" w:styleId="TOC1">
    <w:name w:val="toc 1"/>
    <w:basedOn w:val="Normal"/>
    <w:next w:val="Normal"/>
    <w:autoRedefine/>
    <w:uiPriority w:val="39"/>
    <w:unhideWhenUsed/>
    <w:rsid w:val="005e4ec7"/>
    <w:pPr>
      <w:spacing w:before="120" w:after="0"/>
    </w:pPr>
    <w:rPr>
      <w:rFonts w:ascii="Cambria" w:hAnsi="Cambria" w:eastAsia="Calibri" w:cs="Calibri" w:asciiTheme="minorHAnsi" w:hAnsiTheme="minorHAnsi"/>
      <w:b/>
      <w:bCs/>
      <w:i/>
      <w:iCs/>
      <w:sz w:val="24"/>
      <w:szCs w:val="24"/>
    </w:rPr>
  </w:style>
  <w:style w:type="paragraph" w:styleId="TOC2">
    <w:name w:val="toc 2"/>
    <w:basedOn w:val="Normal"/>
    <w:next w:val="Normal"/>
    <w:autoRedefine/>
    <w:uiPriority w:val="39"/>
    <w:unhideWhenUsed/>
    <w:rsid w:val="005e4ec7"/>
    <w:pPr>
      <w:spacing w:before="120" w:after="0"/>
      <w:ind w:start="190"/>
    </w:pPr>
    <w:rPr>
      <w:rFonts w:ascii="Cambria" w:hAnsi="Cambria" w:eastAsia="Calibri" w:cs="Calibri" w:asciiTheme="minorHAnsi" w:hAnsiTheme="minorHAnsi"/>
      <w:b/>
      <w:bCs/>
      <w:sz w:val="22"/>
    </w:rPr>
  </w:style>
  <w:style w:type="paragraph" w:styleId="TOC3">
    <w:name w:val="toc 3"/>
    <w:basedOn w:val="Normal"/>
    <w:next w:val="Normal"/>
    <w:autoRedefine/>
    <w:uiPriority w:val="39"/>
    <w:semiHidden/>
    <w:unhideWhenUsed/>
    <w:rsid w:val="005e4ec7"/>
    <w:pPr>
      <w:spacing w:before="0" w:after="0"/>
      <w:ind w:start="380"/>
    </w:pPr>
    <w:rPr>
      <w:rFonts w:ascii="Cambria" w:hAnsi="Cambria" w:eastAsia="Calibri" w:cs="Calibri" w:asciiTheme="minorHAnsi" w:hAnsiTheme="minorHAnsi"/>
      <w:sz w:val="20"/>
      <w:szCs w:val="20"/>
    </w:rPr>
  </w:style>
  <w:style w:type="paragraph" w:styleId="TOC4">
    <w:name w:val="toc 4"/>
    <w:basedOn w:val="Normal"/>
    <w:next w:val="Normal"/>
    <w:autoRedefine/>
    <w:uiPriority w:val="39"/>
    <w:semiHidden/>
    <w:unhideWhenUsed/>
    <w:rsid w:val="005e4ec7"/>
    <w:pPr>
      <w:spacing w:before="0" w:after="0"/>
      <w:ind w:start="570"/>
    </w:pPr>
    <w:rPr>
      <w:rFonts w:ascii="Cambria" w:hAnsi="Cambria" w:eastAsia="Calibri" w:cs="Calibri" w:asciiTheme="minorHAnsi" w:hAnsiTheme="minorHAnsi"/>
      <w:sz w:val="20"/>
      <w:szCs w:val="20"/>
    </w:rPr>
  </w:style>
  <w:style w:type="paragraph" w:styleId="TOC5">
    <w:name w:val="toc 5"/>
    <w:basedOn w:val="Normal"/>
    <w:next w:val="Normal"/>
    <w:autoRedefine/>
    <w:uiPriority w:val="39"/>
    <w:semiHidden/>
    <w:unhideWhenUsed/>
    <w:rsid w:val="005e4ec7"/>
    <w:pPr>
      <w:spacing w:before="0" w:after="0"/>
      <w:ind w:start="760"/>
    </w:pPr>
    <w:rPr>
      <w:rFonts w:ascii="Cambria" w:hAnsi="Cambria" w:eastAsia="Calibri" w:cs="Calibri" w:asciiTheme="minorHAnsi" w:hAnsiTheme="minorHAnsi"/>
      <w:sz w:val="20"/>
      <w:szCs w:val="20"/>
    </w:rPr>
  </w:style>
  <w:style w:type="paragraph" w:styleId="TOC6">
    <w:name w:val="toc 6"/>
    <w:basedOn w:val="Normal"/>
    <w:next w:val="Normal"/>
    <w:autoRedefine/>
    <w:uiPriority w:val="39"/>
    <w:semiHidden/>
    <w:unhideWhenUsed/>
    <w:rsid w:val="005e4ec7"/>
    <w:pPr>
      <w:spacing w:before="0" w:after="0"/>
      <w:ind w:start="950"/>
    </w:pPr>
    <w:rPr>
      <w:rFonts w:ascii="Cambria" w:hAnsi="Cambria" w:eastAsia="Calibri" w:cs="Calibri" w:asciiTheme="minorHAnsi" w:hAnsiTheme="minorHAnsi"/>
      <w:sz w:val="20"/>
      <w:szCs w:val="20"/>
    </w:rPr>
  </w:style>
  <w:style w:type="paragraph" w:styleId="TOC7">
    <w:name w:val="toc 7"/>
    <w:basedOn w:val="Normal"/>
    <w:next w:val="Normal"/>
    <w:autoRedefine/>
    <w:uiPriority w:val="39"/>
    <w:semiHidden/>
    <w:unhideWhenUsed/>
    <w:rsid w:val="005e4ec7"/>
    <w:pPr>
      <w:spacing w:before="0" w:after="0"/>
      <w:ind w:start="1140"/>
    </w:pPr>
    <w:rPr>
      <w:rFonts w:ascii="Cambria" w:hAnsi="Cambria" w:eastAsia="Calibri" w:cs="Calibri" w:asciiTheme="minorHAnsi" w:hAnsiTheme="minorHAnsi"/>
      <w:sz w:val="20"/>
      <w:szCs w:val="20"/>
    </w:rPr>
  </w:style>
  <w:style w:type="paragraph" w:styleId="TOC8">
    <w:name w:val="toc 8"/>
    <w:basedOn w:val="Normal"/>
    <w:next w:val="Normal"/>
    <w:autoRedefine/>
    <w:uiPriority w:val="39"/>
    <w:semiHidden/>
    <w:unhideWhenUsed/>
    <w:rsid w:val="005e4ec7"/>
    <w:pPr>
      <w:spacing w:before="0" w:after="0"/>
      <w:ind w:start="1330"/>
    </w:pPr>
    <w:rPr>
      <w:rFonts w:ascii="Cambria" w:hAnsi="Cambria" w:eastAsia="Calibri" w:cs="Calibri" w:asciiTheme="minorHAnsi" w:hAnsiTheme="minorHAnsi"/>
      <w:sz w:val="20"/>
      <w:szCs w:val="20"/>
    </w:rPr>
  </w:style>
  <w:style w:type="paragraph" w:styleId="TOC9">
    <w:name w:val="toc 9"/>
    <w:basedOn w:val="Normal"/>
    <w:next w:val="Normal"/>
    <w:autoRedefine/>
    <w:uiPriority w:val="39"/>
    <w:semiHidden/>
    <w:unhideWhenUsed/>
    <w:rsid w:val="005e4ec7"/>
    <w:pPr>
      <w:spacing w:before="0" w:after="0"/>
      <w:ind w:start="1520"/>
    </w:pPr>
    <w:rPr>
      <w:rFonts w:ascii="Cambria" w:hAnsi="Cambria" w:eastAsia="Calibri" w:cs="Calibri" w:asciiTheme="minorHAnsi" w:hAnsiTheme="minorHAnsi"/>
      <w:sz w:val="20"/>
      <w:szCs w:val="20"/>
    </w:rPr>
  </w:style>
  <w:style w:type="paragraph" w:styleId="AppendixCFamily" w:customStyle="1">
    <w:name w:val="Appendix C Family"/>
    <w:basedOn w:val="Normal"/>
    <w:qFormat/>
    <w:pPr>
      <w:keepNext w:val="true"/>
      <w:spacing w:before="0" w:after="120"/>
    </w:pPr>
    <w:rPr>
      <w:rFonts w:ascii="Calibri" w:hAnsi="Calibri" w:eastAsia="Calibri" w:cs="Calibri"/>
      <w:b/>
      <w:color w:val="0B78B9"/>
      <w:sz w:val="25"/>
    </w:rPr>
  </w:style>
  <w:style w:type="numbering" w:styleId="NoList" w:default="1">
    <w:name w:val="No List"/>
    <w:uiPriority w:val="99"/>
    <w:semiHidden/>
    <w:unhideWhenUsed/>
    <w:qFormat/>
  </w:style>
  <w:style w:type="table" w:default="1" w:styleId="TableNormal">
    <w:name w:val="Normal Table"/>
    <w:uiPriority w:val="99"/>
    <w:semiHidden/>
    <w:unhideWhenUsed/>
    <w:rPr/>
    <w:tblPr>
      <w:tblCellMar>
        <w:top w:w="0" w:type="dxa"/>
        <w:left w:w="108" w:type="dxa"/>
        <w:bottom w:w="0" w:type="dxa"/>
        <w:right w:w="108" w:type="dxa"/>
      </w:tblCellMar>
    </w:tblPr>
  </w:style>
  <w:style w:type="table" w:styleId="TableGrid">
    <w:name w:val="Table Grid"/>
    <w:basedOn w:val="TableNormal"/>
    <w:uiPriority w:val="59"/>
    <w:rsid w:val="00fc693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LibreOffice/25.2.3.2$Linux_X86_64 LibreOffice_project/520$Build-2</Application>
  <AppVersion>15.0000</AppVersion>
  <Pages>104</Pages>
  <Words>26926</Words>
  <Characters>181101</Characters>
  <CharactersWithSpaces>205038</CharactersWithSpaces>
  <Paragraphs>2960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2026-07-19T11:08:00Z</dcterms:created>
  <dc:creator>Visionary Technology Consultants</dc:creator>
  <dc:description>Revision 5.3 reconciles SSP and evidence matrix, adds objective-level traceability references, evidence-maturity language, separate administrator account details, and control-specific evidence/test expectations.</dc:description>
  <dc:language>en-US</dc:language>
  <cp:lastModifiedBy/>
  <dcterms:modified xsi:type="dcterms:W3CDTF">2026-07-20T11:44:26Z</dcterms:modified>
  <cp:revision>10</cp:revision>
  <dc:subject>CMMC Level 2 / NIST SP 800-171 Rev. 2 System Security Plan</dc:subject>
  <dc:title>VTC System Security Plan - CMMC Level 2</dc:title>
</cp:coreProperties>
</file>

<file path=docProps/custom.xml><?xml version="1.0" encoding="utf-8"?>
<Properties xmlns="http://schemas.openxmlformats.org/officeDocument/2006/custom-properties" xmlns:vt="http://schemas.openxmlformats.org/officeDocument/2006/docPropsVTypes"/>
</file>