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714C" w14:textId="485C5135" w:rsidR="00104ECF" w:rsidRPr="00483F3D" w:rsidRDefault="00104ECF" w:rsidP="00483F3D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483F3D">
        <w:rPr>
          <w:rFonts w:asciiTheme="majorBidi" w:hAnsiTheme="majorBidi" w:cstheme="majorBidi"/>
          <w:b/>
          <w:bCs/>
          <w:u w:val="single"/>
        </w:rPr>
        <w:t>Data Wrangling Process: Detailed Documentation</w:t>
      </w:r>
    </w:p>
    <w:p w14:paraId="2F713A44" w14:textId="77777777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1. Understanding the Dataset</w:t>
      </w:r>
    </w:p>
    <w:p w14:paraId="25D50B63" w14:textId="5F73CAF9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 xml:space="preserve">The dataset contains student performance information, focusing on demographics, academic metrics, and extracurricular participation. </w:t>
      </w:r>
      <w:r w:rsidR="007C5566" w:rsidRPr="00483F3D">
        <w:rPr>
          <w:rFonts w:asciiTheme="majorBidi" w:hAnsiTheme="majorBidi" w:cstheme="majorBidi"/>
        </w:rPr>
        <w:t>Column Include</w:t>
      </w:r>
      <w:r w:rsidRPr="00483F3D">
        <w:rPr>
          <w:rFonts w:asciiTheme="majorBidi" w:hAnsiTheme="majorBidi" w:cstheme="majorBidi"/>
        </w:rPr>
        <w:t>:</w:t>
      </w:r>
    </w:p>
    <w:p w14:paraId="79228FC8" w14:textId="5102B802" w:rsidR="00104ECF" w:rsidRPr="00483F3D" w:rsidRDefault="00104ECF" w:rsidP="00104EC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Demographics</w:t>
      </w:r>
      <w:r w:rsidRPr="00483F3D">
        <w:rPr>
          <w:rFonts w:asciiTheme="majorBidi" w:hAnsiTheme="majorBidi" w:cstheme="majorBidi"/>
        </w:rPr>
        <w:t>: Age, Gender, Ethnicity, Parental Education</w:t>
      </w:r>
      <w:r w:rsidR="00DF0B0E" w:rsidRPr="00483F3D">
        <w:rPr>
          <w:rFonts w:asciiTheme="majorBidi" w:hAnsiTheme="majorBidi" w:cstheme="majorBidi"/>
        </w:rPr>
        <w:t xml:space="preserve">, </w:t>
      </w:r>
      <w:proofErr w:type="spellStart"/>
      <w:r w:rsidR="00DF0B0E" w:rsidRPr="00483F3D">
        <w:rPr>
          <w:rFonts w:asciiTheme="majorBidi" w:hAnsiTheme="majorBidi" w:cstheme="majorBidi"/>
        </w:rPr>
        <w:t>StudentID</w:t>
      </w:r>
      <w:proofErr w:type="spellEnd"/>
      <w:r w:rsidRPr="00483F3D">
        <w:rPr>
          <w:rFonts w:asciiTheme="majorBidi" w:hAnsiTheme="majorBidi" w:cstheme="majorBidi"/>
        </w:rPr>
        <w:t>.</w:t>
      </w:r>
    </w:p>
    <w:p w14:paraId="3DF2DC0D" w14:textId="77777777" w:rsidR="00104ECF" w:rsidRPr="00483F3D" w:rsidRDefault="00104ECF" w:rsidP="00104EC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Academic Performance</w:t>
      </w:r>
      <w:r w:rsidRPr="00483F3D">
        <w:rPr>
          <w:rFonts w:asciiTheme="majorBidi" w:hAnsiTheme="majorBidi" w:cstheme="majorBidi"/>
        </w:rPr>
        <w:t>: GPA, Grade Class, Study Time, and Absences.</w:t>
      </w:r>
    </w:p>
    <w:p w14:paraId="28F0A3E2" w14:textId="77777777" w:rsidR="00104ECF" w:rsidRPr="00483F3D" w:rsidRDefault="00104ECF" w:rsidP="00104ECF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Extracurriculars</w:t>
      </w:r>
      <w:r w:rsidRPr="00483F3D">
        <w:rPr>
          <w:rFonts w:asciiTheme="majorBidi" w:hAnsiTheme="majorBidi" w:cstheme="majorBidi"/>
        </w:rPr>
        <w:t>: Participation in Sports, Music, Tutoring, and Volunteering.</w:t>
      </w:r>
    </w:p>
    <w:p w14:paraId="32CBE1AE" w14:textId="3C8BE508" w:rsidR="00104ECF" w:rsidRPr="00483F3D" w:rsidRDefault="00104ECF" w:rsidP="00104ECF">
      <w:pPr>
        <w:rPr>
          <w:rFonts w:asciiTheme="majorBidi" w:hAnsiTheme="majorBidi" w:cstheme="majorBidi"/>
        </w:rPr>
      </w:pPr>
    </w:p>
    <w:p w14:paraId="529D9C1D" w14:textId="77777777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2. Data Cleaning Process</w:t>
      </w:r>
    </w:p>
    <w:p w14:paraId="037ADE74" w14:textId="77777777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Handling Missing Values</w:t>
      </w:r>
    </w:p>
    <w:p w14:paraId="1BB4BA6C" w14:textId="77777777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Missing values were identified and addressed to ensure a complete and accurate dataset:</w:t>
      </w:r>
    </w:p>
    <w:p w14:paraId="7F607023" w14:textId="77777777" w:rsidR="00104ECF" w:rsidRPr="00483F3D" w:rsidRDefault="00104ECF" w:rsidP="00104EC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Categorical columns were filled with the most frequent value.</w:t>
      </w:r>
    </w:p>
    <w:p w14:paraId="31BAE3AE" w14:textId="568B93DF" w:rsidR="00104ECF" w:rsidRPr="00483F3D" w:rsidRDefault="00104ECF" w:rsidP="00104ECF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 xml:space="preserve">Numerical columns </w:t>
      </w:r>
      <w:r w:rsidR="00F06C14" w:rsidRPr="00483F3D">
        <w:rPr>
          <w:rFonts w:asciiTheme="majorBidi" w:hAnsiTheme="majorBidi" w:cstheme="majorBidi"/>
        </w:rPr>
        <w:t>that were not sensitive to outliers were</w:t>
      </w:r>
      <w:r w:rsidRPr="00483F3D">
        <w:rPr>
          <w:rFonts w:asciiTheme="majorBidi" w:hAnsiTheme="majorBidi" w:cstheme="majorBidi"/>
        </w:rPr>
        <w:t xml:space="preserve"> filled with the mean</w:t>
      </w:r>
      <w:r w:rsidR="00F06C14" w:rsidRPr="00483F3D">
        <w:rPr>
          <w:rFonts w:asciiTheme="majorBidi" w:hAnsiTheme="majorBidi" w:cstheme="majorBidi"/>
        </w:rPr>
        <w:t>, while data that were sensitive were filled using the median</w:t>
      </w:r>
      <w:r w:rsidRPr="00483F3D">
        <w:rPr>
          <w:rFonts w:asciiTheme="majorBidi" w:hAnsiTheme="majorBidi" w:cstheme="majorBidi"/>
        </w:rPr>
        <w:t xml:space="preserve"> to maintain consistency and avoid skewing the results.</w:t>
      </w:r>
    </w:p>
    <w:p w14:paraId="69BD5284" w14:textId="77777777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Removing Duplicates</w:t>
      </w:r>
    </w:p>
    <w:p w14:paraId="1F1376A9" w14:textId="5ACC32EF" w:rsidR="00104ECF" w:rsidRPr="00483F3D" w:rsidRDefault="00720F0A" w:rsidP="00720F0A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 xml:space="preserve">The data did not include any duplicated data however if there were then they would be </w:t>
      </w:r>
      <w:r w:rsidR="00104ECF" w:rsidRPr="00483F3D">
        <w:rPr>
          <w:rFonts w:asciiTheme="majorBidi" w:hAnsiTheme="majorBidi" w:cstheme="majorBidi"/>
        </w:rPr>
        <w:t xml:space="preserve">identified and removed, reducing redundancy and ensuring the </w:t>
      </w:r>
      <w:r w:rsidR="00142714" w:rsidRPr="00483F3D">
        <w:rPr>
          <w:rFonts w:asciiTheme="majorBidi" w:hAnsiTheme="majorBidi" w:cstheme="majorBidi"/>
        </w:rPr>
        <w:t>reliability</w:t>
      </w:r>
      <w:r w:rsidR="00104ECF" w:rsidRPr="00483F3D">
        <w:rPr>
          <w:rFonts w:asciiTheme="majorBidi" w:hAnsiTheme="majorBidi" w:cstheme="majorBidi"/>
        </w:rPr>
        <w:t xml:space="preserve"> of the dataset.</w:t>
      </w:r>
    </w:p>
    <w:p w14:paraId="48BBE9AA" w14:textId="5DDE31AE" w:rsidR="00104ECF" w:rsidRPr="00483F3D" w:rsidRDefault="00104ECF" w:rsidP="00104ECF">
      <w:pPr>
        <w:rPr>
          <w:rFonts w:asciiTheme="majorBidi" w:hAnsiTheme="majorBidi" w:cstheme="majorBidi"/>
        </w:rPr>
      </w:pPr>
    </w:p>
    <w:p w14:paraId="6C000868" w14:textId="77777777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3. Data Transformation</w:t>
      </w:r>
    </w:p>
    <w:p w14:paraId="584F5BF7" w14:textId="77777777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Binning Continuous Variables</w:t>
      </w:r>
    </w:p>
    <w:p w14:paraId="7787F901" w14:textId="77777777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To simplify analysis, continuous variables such as weekly study time and absences were grouped into categories:</w:t>
      </w:r>
    </w:p>
    <w:p w14:paraId="3668993E" w14:textId="77777777" w:rsidR="00104ECF" w:rsidRPr="00483F3D" w:rsidRDefault="00104ECF" w:rsidP="00104EC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Study Time</w:t>
      </w:r>
      <w:r w:rsidRPr="00483F3D">
        <w:rPr>
          <w:rFonts w:asciiTheme="majorBidi" w:hAnsiTheme="majorBidi" w:cstheme="majorBidi"/>
        </w:rPr>
        <w:t xml:space="preserve"> was categorized into Very Low, Low, Moderate, High, and Very High.</w:t>
      </w:r>
    </w:p>
    <w:p w14:paraId="65CBBF5B" w14:textId="77777777" w:rsidR="00104ECF" w:rsidRPr="00483F3D" w:rsidRDefault="00104ECF" w:rsidP="00104ECF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Absences</w:t>
      </w:r>
      <w:r w:rsidRPr="00483F3D">
        <w:rPr>
          <w:rFonts w:asciiTheme="majorBidi" w:hAnsiTheme="majorBidi" w:cstheme="majorBidi"/>
        </w:rPr>
        <w:t xml:space="preserve"> were grouped into Very Few, Few, Moderate, Many, and Very Many.</w:t>
      </w:r>
    </w:p>
    <w:p w14:paraId="5478EC1C" w14:textId="71E7F749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 xml:space="preserve">This transformation helped </w:t>
      </w:r>
      <w:r w:rsidR="006F527B" w:rsidRPr="00483F3D">
        <w:rPr>
          <w:rFonts w:asciiTheme="majorBidi" w:hAnsiTheme="majorBidi" w:cstheme="majorBidi"/>
        </w:rPr>
        <w:t>show</w:t>
      </w:r>
      <w:r w:rsidRPr="00483F3D">
        <w:rPr>
          <w:rFonts w:asciiTheme="majorBidi" w:hAnsiTheme="majorBidi" w:cstheme="majorBidi"/>
        </w:rPr>
        <w:t xml:space="preserve"> patterns and trends across the dataset.</w:t>
      </w:r>
    </w:p>
    <w:p w14:paraId="3E06D726" w14:textId="77777777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Encoding Categorical Variables</w:t>
      </w:r>
    </w:p>
    <w:p w14:paraId="277892A4" w14:textId="29866DBD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 xml:space="preserve">Categorical columns such as Ethnicity, Parental Support, </w:t>
      </w:r>
      <w:r w:rsidR="00AB3A8F" w:rsidRPr="00483F3D">
        <w:rPr>
          <w:rFonts w:asciiTheme="majorBidi" w:hAnsiTheme="majorBidi" w:cstheme="majorBidi"/>
        </w:rPr>
        <w:t>Parent Education,</w:t>
      </w:r>
      <w:r w:rsidRPr="00483F3D">
        <w:rPr>
          <w:rFonts w:asciiTheme="majorBidi" w:hAnsiTheme="majorBidi" w:cstheme="majorBidi"/>
        </w:rPr>
        <w:t xml:space="preserve"> Grade Class</w:t>
      </w:r>
      <w:r w:rsidR="00AB3A8F" w:rsidRPr="00483F3D">
        <w:rPr>
          <w:rFonts w:asciiTheme="majorBidi" w:hAnsiTheme="majorBidi" w:cstheme="majorBidi"/>
        </w:rPr>
        <w:t>, and Gender</w:t>
      </w:r>
      <w:r w:rsidRPr="00483F3D">
        <w:rPr>
          <w:rFonts w:asciiTheme="majorBidi" w:hAnsiTheme="majorBidi" w:cstheme="majorBidi"/>
        </w:rPr>
        <w:t xml:space="preserve"> were mapped to descriptive labels. For example:</w:t>
      </w:r>
    </w:p>
    <w:p w14:paraId="579E5C24" w14:textId="77777777" w:rsidR="00104ECF" w:rsidRPr="00483F3D" w:rsidRDefault="00104ECF" w:rsidP="00104EC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Ethnicity codes were replaced with labels like Caucasian and African American.</w:t>
      </w:r>
    </w:p>
    <w:p w14:paraId="7141C49D" w14:textId="77777777" w:rsidR="00104ECF" w:rsidRPr="00483F3D" w:rsidRDefault="00104ECF" w:rsidP="00104ECF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Parental Support levels were converted to terms like Low and Very High, making the data more interpretable.</w:t>
      </w:r>
    </w:p>
    <w:p w14:paraId="0320BEB0" w14:textId="3024CEE2" w:rsidR="00104ECF" w:rsidRPr="00483F3D" w:rsidRDefault="00104ECF" w:rsidP="00104ECF">
      <w:pPr>
        <w:rPr>
          <w:rFonts w:asciiTheme="majorBidi" w:hAnsiTheme="majorBidi" w:cstheme="majorBidi"/>
        </w:rPr>
      </w:pPr>
    </w:p>
    <w:p w14:paraId="1A401EF6" w14:textId="7C72BCCD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4. Exploratory Data Analysis (EDA)</w:t>
      </w:r>
    </w:p>
    <w:p w14:paraId="28F07F9D" w14:textId="7C28F91B" w:rsidR="00104ECF" w:rsidRPr="00483F3D" w:rsidRDefault="00A24AFC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52D6DCB" wp14:editId="7ABF4524">
            <wp:simplePos x="0" y="0"/>
            <wp:positionH relativeFrom="column">
              <wp:posOffset>2796540</wp:posOffset>
            </wp:positionH>
            <wp:positionV relativeFrom="paragraph">
              <wp:posOffset>3810</wp:posOffset>
            </wp:positionV>
            <wp:extent cx="3275330" cy="2082165"/>
            <wp:effectExtent l="0" t="0" r="1270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20204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12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ECF" w:rsidRPr="00483F3D">
        <w:rPr>
          <w:rFonts w:asciiTheme="majorBidi" w:hAnsiTheme="majorBidi" w:cstheme="majorBidi"/>
          <w:b/>
          <w:bCs/>
        </w:rPr>
        <w:t>GPA Distribution</w:t>
      </w:r>
    </w:p>
    <w:p w14:paraId="2D5C7604" w14:textId="1B508C74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 xml:space="preserve">The analysis of GPA revealed a right-skewed distribution, with </w:t>
      </w:r>
      <w:proofErr w:type="gramStart"/>
      <w:r w:rsidRPr="00483F3D">
        <w:rPr>
          <w:rFonts w:asciiTheme="majorBidi" w:hAnsiTheme="majorBidi" w:cstheme="majorBidi"/>
        </w:rPr>
        <w:t>the majority of</w:t>
      </w:r>
      <w:proofErr w:type="gramEnd"/>
      <w:r w:rsidRPr="00483F3D">
        <w:rPr>
          <w:rFonts w:asciiTheme="majorBidi" w:hAnsiTheme="majorBidi" w:cstheme="majorBidi"/>
        </w:rPr>
        <w:t xml:space="preserve"> students achieving GPAs between </w:t>
      </w:r>
      <w:r w:rsidRPr="00483F3D">
        <w:rPr>
          <w:rFonts w:asciiTheme="majorBidi" w:hAnsiTheme="majorBidi" w:cstheme="majorBidi"/>
          <w:b/>
          <w:bCs/>
        </w:rPr>
        <w:t>2.5 and 3.0</w:t>
      </w:r>
      <w:r w:rsidRPr="00483F3D">
        <w:rPr>
          <w:rFonts w:asciiTheme="majorBidi" w:hAnsiTheme="majorBidi" w:cstheme="majorBidi"/>
        </w:rPr>
        <w:t>. This clustering suggests that most students are performing at an average academic level, with fewer excelling above 3.5 or struggling below 2.0.</w:t>
      </w:r>
    </w:p>
    <w:p w14:paraId="2037A975" w14:textId="0617C78C" w:rsidR="00B74C45" w:rsidRPr="00483F3D" w:rsidRDefault="00B74C45" w:rsidP="00104ECF">
      <w:pPr>
        <w:rPr>
          <w:rFonts w:asciiTheme="majorBidi" w:hAnsiTheme="majorBidi" w:cstheme="majorBidi"/>
        </w:rPr>
      </w:pPr>
    </w:p>
    <w:p w14:paraId="4F2831F9" w14:textId="6187435E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Key Insights:</w:t>
      </w:r>
    </w:p>
    <w:p w14:paraId="5411F1FA" w14:textId="10518132" w:rsidR="00104ECF" w:rsidRPr="00483F3D" w:rsidRDefault="00104ECF" w:rsidP="00104EC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Academic Clustering</w:t>
      </w:r>
      <w:r w:rsidRPr="00483F3D">
        <w:rPr>
          <w:rFonts w:asciiTheme="majorBidi" w:hAnsiTheme="majorBidi" w:cstheme="majorBidi"/>
        </w:rPr>
        <w:t>:</w:t>
      </w:r>
    </w:p>
    <w:p w14:paraId="4F7CD976" w14:textId="08C72AB3" w:rsidR="00104ECF" w:rsidRPr="00483F3D" w:rsidRDefault="00104ECF" w:rsidP="00104EC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Most students fall into the middle-performing range, highlighting an opportunity for targeted academic interventions.</w:t>
      </w:r>
    </w:p>
    <w:p w14:paraId="03AF7550" w14:textId="05BE5CFC" w:rsidR="00104ECF" w:rsidRPr="00483F3D" w:rsidRDefault="00104ECF" w:rsidP="00104ECF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Room for Improvement</w:t>
      </w:r>
      <w:r w:rsidRPr="00483F3D">
        <w:rPr>
          <w:rFonts w:asciiTheme="majorBidi" w:hAnsiTheme="majorBidi" w:cstheme="majorBidi"/>
        </w:rPr>
        <w:t>:</w:t>
      </w:r>
    </w:p>
    <w:p w14:paraId="7D3431AF" w14:textId="223A87FB" w:rsidR="00104ECF" w:rsidRPr="00483F3D" w:rsidRDefault="00104ECF" w:rsidP="00104ECF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The relatively low number of students achieving GPAs above 3.5 suggests a need for enrichment programs to support high-achieving students.</w:t>
      </w:r>
    </w:p>
    <w:p w14:paraId="4126B068" w14:textId="777B7436" w:rsidR="00AA57E0" w:rsidRPr="00483F3D" w:rsidRDefault="00AA57E0" w:rsidP="00AA57E0">
      <w:pPr>
        <w:ind w:left="1440"/>
        <w:rPr>
          <w:rFonts w:asciiTheme="majorBidi" w:hAnsiTheme="majorBidi" w:cstheme="majorBidi"/>
        </w:rPr>
      </w:pPr>
    </w:p>
    <w:p w14:paraId="35263E38" w14:textId="5146A7C7" w:rsidR="00AA57E0" w:rsidRPr="00483F3D" w:rsidRDefault="00AA57E0" w:rsidP="00AA57E0">
      <w:pPr>
        <w:ind w:left="1440"/>
        <w:rPr>
          <w:rFonts w:asciiTheme="majorBidi" w:hAnsiTheme="majorBidi" w:cstheme="majorBidi"/>
        </w:rPr>
      </w:pPr>
    </w:p>
    <w:p w14:paraId="56630C8C" w14:textId="7E02AE98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GPA vs. Study Time Weekly</w:t>
      </w:r>
    </w:p>
    <w:p w14:paraId="30E52802" w14:textId="3E2E599B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An analysis of GPA against study time showed that students who studied more tended to achieve higher GPAs. This positive correlation underscores the importance of consistent study habits for academic success.</w:t>
      </w:r>
    </w:p>
    <w:p w14:paraId="056EA4E5" w14:textId="5A8F56F2" w:rsidR="00A24AFC" w:rsidRPr="00483F3D" w:rsidRDefault="00AA57E0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56C084F1" wp14:editId="436FC79A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556760" cy="3063875"/>
            <wp:effectExtent l="0" t="0" r="0" b="3175"/>
            <wp:wrapThrough wrapText="bothSides">
              <wp:wrapPolygon edited="0">
                <wp:start x="0" y="0"/>
                <wp:lineTo x="0" y="21488"/>
                <wp:lineTo x="21492" y="21488"/>
                <wp:lineTo x="21492" y="0"/>
                <wp:lineTo x="0" y="0"/>
              </wp:wrapPolygon>
            </wp:wrapThrough>
            <wp:docPr id="1274170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0508" name="Picture 1274170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B0DC1" w14:textId="508ABBF1" w:rsidR="00AA57E0" w:rsidRPr="00483F3D" w:rsidRDefault="00AA57E0" w:rsidP="00104ECF">
      <w:pPr>
        <w:rPr>
          <w:rFonts w:asciiTheme="majorBidi" w:hAnsiTheme="majorBidi" w:cstheme="majorBidi"/>
        </w:rPr>
      </w:pPr>
    </w:p>
    <w:p w14:paraId="2E16C9F0" w14:textId="01EF9BCA" w:rsidR="00AA57E0" w:rsidRPr="00483F3D" w:rsidRDefault="00AA57E0" w:rsidP="00104ECF">
      <w:pPr>
        <w:rPr>
          <w:rFonts w:asciiTheme="majorBidi" w:hAnsiTheme="majorBidi" w:cstheme="majorBidi"/>
        </w:rPr>
      </w:pPr>
    </w:p>
    <w:p w14:paraId="339FE1A6" w14:textId="3EEB206A" w:rsidR="00AA57E0" w:rsidRPr="00483F3D" w:rsidRDefault="00AA57E0" w:rsidP="00104ECF">
      <w:pPr>
        <w:rPr>
          <w:rFonts w:asciiTheme="majorBidi" w:hAnsiTheme="majorBidi" w:cstheme="majorBidi"/>
        </w:rPr>
      </w:pPr>
    </w:p>
    <w:p w14:paraId="7F27B938" w14:textId="7BEC0361" w:rsidR="00AA57E0" w:rsidRPr="00483F3D" w:rsidRDefault="00AA57E0" w:rsidP="00104ECF">
      <w:pPr>
        <w:rPr>
          <w:rFonts w:asciiTheme="majorBidi" w:hAnsiTheme="majorBidi" w:cstheme="majorBidi"/>
        </w:rPr>
      </w:pPr>
    </w:p>
    <w:p w14:paraId="4C93437D" w14:textId="2D733EBA" w:rsidR="00AA57E0" w:rsidRPr="00483F3D" w:rsidRDefault="00AA57E0" w:rsidP="00104ECF">
      <w:pPr>
        <w:rPr>
          <w:rFonts w:asciiTheme="majorBidi" w:hAnsiTheme="majorBidi" w:cstheme="majorBidi"/>
        </w:rPr>
      </w:pPr>
    </w:p>
    <w:p w14:paraId="7C92F019" w14:textId="0D7DB86D" w:rsidR="00AA57E0" w:rsidRPr="00483F3D" w:rsidRDefault="00AA57E0" w:rsidP="00104ECF">
      <w:pPr>
        <w:rPr>
          <w:rFonts w:asciiTheme="majorBidi" w:hAnsiTheme="majorBidi" w:cstheme="majorBidi"/>
        </w:rPr>
      </w:pPr>
    </w:p>
    <w:p w14:paraId="40FDA9CF" w14:textId="43B38F5A" w:rsidR="00AA57E0" w:rsidRPr="00483F3D" w:rsidRDefault="00AA57E0" w:rsidP="00104ECF">
      <w:pPr>
        <w:rPr>
          <w:rFonts w:asciiTheme="majorBidi" w:hAnsiTheme="majorBidi" w:cstheme="majorBidi"/>
        </w:rPr>
      </w:pPr>
    </w:p>
    <w:p w14:paraId="5E9181A0" w14:textId="77777777" w:rsidR="00AA57E0" w:rsidRPr="00483F3D" w:rsidRDefault="00AA57E0" w:rsidP="00104ECF">
      <w:pPr>
        <w:rPr>
          <w:rFonts w:asciiTheme="majorBidi" w:hAnsiTheme="majorBidi" w:cstheme="majorBidi"/>
        </w:rPr>
      </w:pPr>
    </w:p>
    <w:p w14:paraId="5D53C363" w14:textId="77777777" w:rsidR="00AA57E0" w:rsidRPr="00483F3D" w:rsidRDefault="00AA57E0" w:rsidP="00104ECF">
      <w:pPr>
        <w:rPr>
          <w:rFonts w:asciiTheme="majorBidi" w:hAnsiTheme="majorBidi" w:cstheme="majorBidi"/>
        </w:rPr>
      </w:pPr>
    </w:p>
    <w:p w14:paraId="0C004F72" w14:textId="77777777" w:rsidR="00AA57E0" w:rsidRPr="00483F3D" w:rsidRDefault="00AA57E0" w:rsidP="00104ECF">
      <w:pPr>
        <w:rPr>
          <w:rFonts w:asciiTheme="majorBidi" w:hAnsiTheme="majorBidi" w:cstheme="majorBidi"/>
          <w:b/>
          <w:bCs/>
        </w:rPr>
      </w:pPr>
    </w:p>
    <w:p w14:paraId="623CA3B3" w14:textId="0492BA43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Absences vs. GPA</w:t>
      </w:r>
    </w:p>
    <w:p w14:paraId="4B60F519" w14:textId="1B5BAB8F" w:rsidR="00104ECF" w:rsidRPr="00483F3D" w:rsidRDefault="00104ECF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lastRenderedPageBreak/>
        <w:t>Fewer absences strongly correlated with higher GPAs. Students with very few absences consistently outperformed those with moderate to high absences, emphasizing the importance of regular attendance in academic achievement.</w:t>
      </w:r>
    </w:p>
    <w:p w14:paraId="6E0056C6" w14:textId="5D42F4C6" w:rsidR="00743A1D" w:rsidRPr="00483F3D" w:rsidRDefault="00743A1D" w:rsidP="00104ECF">
      <w:p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6CB545CA" wp14:editId="63147D49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731510" cy="3717290"/>
            <wp:effectExtent l="0" t="0" r="2540" b="0"/>
            <wp:wrapSquare wrapText="bothSides"/>
            <wp:docPr id="1043310846" name="Picture 3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0846" name="Picture 3" descr="A graph showing a blue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541C4" w14:textId="77777777" w:rsidR="003810DC" w:rsidRPr="00483F3D" w:rsidRDefault="003810DC" w:rsidP="00104ECF">
      <w:pPr>
        <w:rPr>
          <w:rFonts w:asciiTheme="majorBidi" w:hAnsiTheme="majorBidi" w:cstheme="majorBidi"/>
          <w:b/>
          <w:bCs/>
        </w:rPr>
      </w:pPr>
    </w:p>
    <w:p w14:paraId="658585A2" w14:textId="77777777" w:rsidR="003810DC" w:rsidRPr="00483F3D" w:rsidRDefault="003810DC" w:rsidP="00104ECF">
      <w:pPr>
        <w:rPr>
          <w:rFonts w:asciiTheme="majorBidi" w:hAnsiTheme="majorBidi" w:cstheme="majorBidi"/>
          <w:b/>
          <w:bCs/>
        </w:rPr>
      </w:pPr>
    </w:p>
    <w:p w14:paraId="61A7AF93" w14:textId="6B98F1EA" w:rsidR="00104ECF" w:rsidRPr="00483F3D" w:rsidRDefault="00104ECF" w:rsidP="00104ECF">
      <w:pPr>
        <w:rPr>
          <w:rFonts w:asciiTheme="majorBidi" w:hAnsiTheme="majorBidi" w:cstheme="majorBidi"/>
          <w:b/>
          <w:bCs/>
        </w:rPr>
      </w:pPr>
      <w:r w:rsidRPr="00483F3D">
        <w:rPr>
          <w:rFonts w:asciiTheme="majorBidi" w:hAnsiTheme="majorBidi" w:cstheme="majorBidi"/>
          <w:b/>
          <w:bCs/>
        </w:rPr>
        <w:t>Extracurricular Participation</w:t>
      </w:r>
    </w:p>
    <w:p w14:paraId="79077F07" w14:textId="77777777" w:rsidR="00104ECF" w:rsidRPr="00483F3D" w:rsidRDefault="00104ECF" w:rsidP="00104EC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Sports and Music</w:t>
      </w:r>
      <w:r w:rsidRPr="00483F3D">
        <w:rPr>
          <w:rFonts w:asciiTheme="majorBidi" w:hAnsiTheme="majorBidi" w:cstheme="majorBidi"/>
        </w:rPr>
        <w:t>:</w:t>
      </w:r>
    </w:p>
    <w:p w14:paraId="2FA12D93" w14:textId="77777777" w:rsidR="00104ECF" w:rsidRPr="00483F3D" w:rsidRDefault="00104ECF" w:rsidP="00104ECF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Students participating in sports or music showed slightly better GPAs compared to non-participants.</w:t>
      </w:r>
    </w:p>
    <w:p w14:paraId="555E27F5" w14:textId="77777777" w:rsidR="00104ECF" w:rsidRPr="00483F3D" w:rsidRDefault="00104ECF" w:rsidP="00104ECF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  <w:b/>
          <w:bCs/>
        </w:rPr>
        <w:t>Volunteering and Tutoring</w:t>
      </w:r>
      <w:r w:rsidRPr="00483F3D">
        <w:rPr>
          <w:rFonts w:asciiTheme="majorBidi" w:hAnsiTheme="majorBidi" w:cstheme="majorBidi"/>
        </w:rPr>
        <w:t>:</w:t>
      </w:r>
    </w:p>
    <w:p w14:paraId="182FCDC1" w14:textId="77777777" w:rsidR="00104ECF" w:rsidRPr="00483F3D" w:rsidRDefault="00104ECF" w:rsidP="00104ECF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483F3D">
        <w:rPr>
          <w:rFonts w:asciiTheme="majorBidi" w:hAnsiTheme="majorBidi" w:cstheme="majorBidi"/>
        </w:rPr>
        <w:t>While tutoring had a significant positive impact on GPA, volunteering showed a smaller, yet noticeable, benefit.</w:t>
      </w:r>
    </w:p>
    <w:p w14:paraId="7CF5203A" w14:textId="0F217272" w:rsidR="00104ECF" w:rsidRPr="00483F3D" w:rsidRDefault="00104ECF" w:rsidP="00104ECF">
      <w:pPr>
        <w:rPr>
          <w:rFonts w:asciiTheme="majorBidi" w:hAnsiTheme="majorBidi" w:cstheme="majorBidi"/>
        </w:rPr>
      </w:pPr>
    </w:p>
    <w:p w14:paraId="2A740153" w14:textId="4827038B" w:rsidR="00AD400C" w:rsidRPr="00483F3D" w:rsidRDefault="00AD400C" w:rsidP="003810DC">
      <w:pPr>
        <w:rPr>
          <w:rFonts w:asciiTheme="majorBidi" w:hAnsiTheme="majorBidi" w:cstheme="majorBidi"/>
        </w:rPr>
      </w:pPr>
    </w:p>
    <w:sectPr w:rsidR="00AD400C" w:rsidRPr="0048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86FF5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43E32"/>
    <w:multiLevelType w:val="multilevel"/>
    <w:tmpl w:val="6CF0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50580"/>
    <w:multiLevelType w:val="multilevel"/>
    <w:tmpl w:val="47EA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E84EA1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82282"/>
    <w:multiLevelType w:val="multilevel"/>
    <w:tmpl w:val="159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C1205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22BB6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83A34"/>
    <w:multiLevelType w:val="multilevel"/>
    <w:tmpl w:val="174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11985">
    <w:abstractNumId w:val="5"/>
  </w:num>
  <w:num w:numId="2" w16cid:durableId="1453209399">
    <w:abstractNumId w:val="0"/>
  </w:num>
  <w:num w:numId="3" w16cid:durableId="542328469">
    <w:abstractNumId w:val="6"/>
  </w:num>
  <w:num w:numId="4" w16cid:durableId="739988206">
    <w:abstractNumId w:val="7"/>
  </w:num>
  <w:num w:numId="5" w16cid:durableId="2065908014">
    <w:abstractNumId w:val="4"/>
  </w:num>
  <w:num w:numId="6" w16cid:durableId="2089842712">
    <w:abstractNumId w:val="2"/>
  </w:num>
  <w:num w:numId="7" w16cid:durableId="1490101078">
    <w:abstractNumId w:val="1"/>
  </w:num>
  <w:num w:numId="8" w16cid:durableId="862286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CF"/>
    <w:rsid w:val="00104ECF"/>
    <w:rsid w:val="00142714"/>
    <w:rsid w:val="003810DC"/>
    <w:rsid w:val="00396291"/>
    <w:rsid w:val="00414028"/>
    <w:rsid w:val="00483F3D"/>
    <w:rsid w:val="005A2184"/>
    <w:rsid w:val="006F527B"/>
    <w:rsid w:val="00720F0A"/>
    <w:rsid w:val="00743A1D"/>
    <w:rsid w:val="007C5566"/>
    <w:rsid w:val="00A24AFC"/>
    <w:rsid w:val="00AA57E0"/>
    <w:rsid w:val="00AB3A8F"/>
    <w:rsid w:val="00AD400C"/>
    <w:rsid w:val="00B74C45"/>
    <w:rsid w:val="00C652E4"/>
    <w:rsid w:val="00C732F2"/>
    <w:rsid w:val="00DF0B0E"/>
    <w:rsid w:val="00EC68C0"/>
    <w:rsid w:val="00F0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9A32"/>
  <w15:chartTrackingRefBased/>
  <w15:docId w15:val="{24834639-E9D0-4C1F-B2BB-050109C1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16BC-593D-43F5-8CC0-D2371F0A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Kenzy Younis</dc:creator>
  <cp:keywords/>
  <dc:description/>
  <cp:lastModifiedBy>Kenzy Younis</cp:lastModifiedBy>
  <cp:revision>20</cp:revision>
  <dcterms:created xsi:type="dcterms:W3CDTF">2024-12-18T21:03:00Z</dcterms:created>
  <dcterms:modified xsi:type="dcterms:W3CDTF">2024-12-18T21:19:00Z</dcterms:modified>
</cp:coreProperties>
</file>