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714C" w14:textId="485C5135" w:rsidR="00104ECF" w:rsidRPr="002F350C" w:rsidRDefault="00104ECF" w:rsidP="00483F3D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2F350C">
        <w:rPr>
          <w:rFonts w:asciiTheme="majorBidi" w:hAnsiTheme="majorBidi" w:cstheme="majorBidi"/>
          <w:b/>
          <w:bCs/>
          <w:u w:val="single"/>
        </w:rPr>
        <w:t>Data Wrangling Process: Detailed Documentation</w:t>
      </w:r>
    </w:p>
    <w:p w14:paraId="2F713A44" w14:textId="0003A331" w:rsidR="00104ECF" w:rsidRPr="002F350C" w:rsidRDefault="00A6370F" w:rsidP="00104EC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1. </w:t>
      </w:r>
      <w:r w:rsidR="00104ECF" w:rsidRPr="002F350C">
        <w:rPr>
          <w:rFonts w:asciiTheme="majorBidi" w:hAnsiTheme="majorBidi" w:cstheme="majorBidi"/>
          <w:b/>
          <w:bCs/>
        </w:rPr>
        <w:t>Understanding the Dataset</w:t>
      </w:r>
      <w:r w:rsidR="009914D1">
        <w:rPr>
          <w:rFonts w:asciiTheme="majorBidi" w:hAnsiTheme="majorBidi" w:cstheme="majorBidi"/>
          <w:b/>
          <w:bCs/>
        </w:rPr>
        <w:t>:</w:t>
      </w:r>
    </w:p>
    <w:p w14:paraId="25D50B63" w14:textId="5F73CAF9" w:rsidR="00104ECF" w:rsidRPr="002F350C" w:rsidRDefault="00104ECF" w:rsidP="00251C61">
      <w:pPr>
        <w:ind w:left="36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The dataset contains student performance information, focusing on demographics, academic metrics, and extracurricular participation. </w:t>
      </w:r>
      <w:r w:rsidR="007C5566" w:rsidRPr="002F350C">
        <w:rPr>
          <w:rFonts w:asciiTheme="majorBidi" w:hAnsiTheme="majorBidi" w:cstheme="majorBidi"/>
        </w:rPr>
        <w:t>Column Include</w:t>
      </w:r>
      <w:r w:rsidRPr="002F350C">
        <w:rPr>
          <w:rFonts w:asciiTheme="majorBidi" w:hAnsiTheme="majorBidi" w:cstheme="majorBidi"/>
        </w:rPr>
        <w:t>:</w:t>
      </w:r>
    </w:p>
    <w:p w14:paraId="79228FC8" w14:textId="5102B802" w:rsidR="00104ECF" w:rsidRPr="002F350C" w:rsidRDefault="00104ECF" w:rsidP="00251C6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Demographics</w:t>
      </w:r>
      <w:r w:rsidRPr="002F350C">
        <w:rPr>
          <w:rFonts w:asciiTheme="majorBidi" w:hAnsiTheme="majorBidi" w:cstheme="majorBidi"/>
        </w:rPr>
        <w:t>: Age, Gender, Ethnicity, Parental Education</w:t>
      </w:r>
      <w:r w:rsidR="00DF0B0E" w:rsidRPr="002F350C">
        <w:rPr>
          <w:rFonts w:asciiTheme="majorBidi" w:hAnsiTheme="majorBidi" w:cstheme="majorBidi"/>
        </w:rPr>
        <w:t>, StudentID</w:t>
      </w:r>
      <w:r w:rsidRPr="002F350C">
        <w:rPr>
          <w:rFonts w:asciiTheme="majorBidi" w:hAnsiTheme="majorBidi" w:cstheme="majorBidi"/>
        </w:rPr>
        <w:t>.</w:t>
      </w:r>
    </w:p>
    <w:p w14:paraId="3DF2DC0D" w14:textId="77777777" w:rsidR="00104ECF" w:rsidRPr="002F350C" w:rsidRDefault="00104ECF" w:rsidP="00251C6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Academic Performance</w:t>
      </w:r>
      <w:r w:rsidRPr="002F350C">
        <w:rPr>
          <w:rFonts w:asciiTheme="majorBidi" w:hAnsiTheme="majorBidi" w:cstheme="majorBidi"/>
        </w:rPr>
        <w:t>: GPA, Grade Class, Study Time, and Absences.</w:t>
      </w:r>
    </w:p>
    <w:p w14:paraId="28F0A3E2" w14:textId="77777777" w:rsidR="00104ECF" w:rsidRPr="002F350C" w:rsidRDefault="00104ECF" w:rsidP="00251C6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Extracurriculars</w:t>
      </w:r>
      <w:r w:rsidRPr="002F350C">
        <w:rPr>
          <w:rFonts w:asciiTheme="majorBidi" w:hAnsiTheme="majorBidi" w:cstheme="majorBidi"/>
        </w:rPr>
        <w:t>: Participation in Sports, Music, Tutoring, and Volunteering.</w:t>
      </w:r>
    </w:p>
    <w:p w14:paraId="32CBE1AE" w14:textId="3C8BE508" w:rsidR="00104ECF" w:rsidRPr="002F350C" w:rsidRDefault="00104ECF" w:rsidP="00104ECF">
      <w:pPr>
        <w:rPr>
          <w:rFonts w:asciiTheme="majorBidi" w:hAnsiTheme="majorBidi" w:cstheme="majorBidi"/>
        </w:rPr>
      </w:pPr>
    </w:p>
    <w:p w14:paraId="529D9C1D" w14:textId="63BC1492" w:rsidR="00104ECF" w:rsidRPr="002F350C" w:rsidRDefault="00104ECF" w:rsidP="00104ECF">
      <w:p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2. Data Cleaning Process</w:t>
      </w:r>
      <w:r w:rsidR="009914D1">
        <w:rPr>
          <w:rFonts w:asciiTheme="majorBidi" w:hAnsiTheme="majorBidi" w:cstheme="majorBidi"/>
          <w:b/>
          <w:bCs/>
        </w:rPr>
        <w:t>:</w:t>
      </w:r>
    </w:p>
    <w:p w14:paraId="037ADE74" w14:textId="77777777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Handling Missing Values</w:t>
      </w:r>
    </w:p>
    <w:p w14:paraId="1BB4BA6C" w14:textId="77777777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Missing values were identified and addressed to ensure a complete and accurate dataset:</w:t>
      </w:r>
    </w:p>
    <w:p w14:paraId="7F607023" w14:textId="77777777" w:rsidR="00104ECF" w:rsidRPr="002F350C" w:rsidRDefault="00104ECF" w:rsidP="00251C6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Categorical columns were filled with the most frequent value.</w:t>
      </w:r>
    </w:p>
    <w:p w14:paraId="31BAE3AE" w14:textId="568B93DF" w:rsidR="00104ECF" w:rsidRPr="002F350C" w:rsidRDefault="00104ECF" w:rsidP="00251C6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Numerical columns </w:t>
      </w:r>
      <w:r w:rsidR="00F06C14" w:rsidRPr="002F350C">
        <w:rPr>
          <w:rFonts w:asciiTheme="majorBidi" w:hAnsiTheme="majorBidi" w:cstheme="majorBidi"/>
        </w:rPr>
        <w:t>that were not sensitive to outliers were</w:t>
      </w:r>
      <w:r w:rsidRPr="002F350C">
        <w:rPr>
          <w:rFonts w:asciiTheme="majorBidi" w:hAnsiTheme="majorBidi" w:cstheme="majorBidi"/>
        </w:rPr>
        <w:t xml:space="preserve"> filled with the mean</w:t>
      </w:r>
      <w:r w:rsidR="00F06C14" w:rsidRPr="002F350C">
        <w:rPr>
          <w:rFonts w:asciiTheme="majorBidi" w:hAnsiTheme="majorBidi" w:cstheme="majorBidi"/>
        </w:rPr>
        <w:t>, while data that were sensitive were filled using the median</w:t>
      </w:r>
      <w:r w:rsidRPr="002F350C">
        <w:rPr>
          <w:rFonts w:asciiTheme="majorBidi" w:hAnsiTheme="majorBidi" w:cstheme="majorBidi"/>
        </w:rPr>
        <w:t xml:space="preserve"> to maintain consistency and avoid skewing the results.</w:t>
      </w:r>
    </w:p>
    <w:p w14:paraId="69BD5284" w14:textId="77777777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Removing Duplicates</w:t>
      </w:r>
    </w:p>
    <w:p w14:paraId="1F1376A9" w14:textId="5ACC32EF" w:rsidR="00104ECF" w:rsidRPr="002F350C" w:rsidRDefault="00720F0A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The data did not include any duplicated data however if there were then they would be </w:t>
      </w:r>
      <w:r w:rsidR="00104ECF" w:rsidRPr="002F350C">
        <w:rPr>
          <w:rFonts w:asciiTheme="majorBidi" w:hAnsiTheme="majorBidi" w:cstheme="majorBidi"/>
        </w:rPr>
        <w:t xml:space="preserve">identified and removed, reducing redundancy and ensuring the </w:t>
      </w:r>
      <w:r w:rsidR="00142714" w:rsidRPr="002F350C">
        <w:rPr>
          <w:rFonts w:asciiTheme="majorBidi" w:hAnsiTheme="majorBidi" w:cstheme="majorBidi"/>
        </w:rPr>
        <w:t>reliability</w:t>
      </w:r>
      <w:r w:rsidR="00104ECF" w:rsidRPr="002F350C">
        <w:rPr>
          <w:rFonts w:asciiTheme="majorBidi" w:hAnsiTheme="majorBidi" w:cstheme="majorBidi"/>
        </w:rPr>
        <w:t xml:space="preserve"> of the dataset.</w:t>
      </w:r>
    </w:p>
    <w:p w14:paraId="48BBE9AA" w14:textId="5DDE31AE" w:rsidR="00104ECF" w:rsidRPr="002F350C" w:rsidRDefault="00104ECF" w:rsidP="00104ECF">
      <w:pPr>
        <w:rPr>
          <w:rFonts w:asciiTheme="majorBidi" w:hAnsiTheme="majorBidi" w:cstheme="majorBidi"/>
        </w:rPr>
      </w:pPr>
    </w:p>
    <w:p w14:paraId="6C000868" w14:textId="416E0985" w:rsidR="00104ECF" w:rsidRPr="002F350C" w:rsidRDefault="00104ECF" w:rsidP="00104ECF">
      <w:p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3. Data Transformation</w:t>
      </w:r>
      <w:r w:rsidR="009914D1">
        <w:rPr>
          <w:rFonts w:asciiTheme="majorBidi" w:hAnsiTheme="majorBidi" w:cstheme="majorBidi"/>
          <w:b/>
          <w:bCs/>
        </w:rPr>
        <w:t>:</w:t>
      </w:r>
    </w:p>
    <w:p w14:paraId="584F5BF7" w14:textId="77777777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Binning Continuous Variables</w:t>
      </w:r>
    </w:p>
    <w:p w14:paraId="7787F901" w14:textId="77777777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To simplify analysis, continuous variables such as weekly study time and absences were grouped into categories:</w:t>
      </w:r>
    </w:p>
    <w:p w14:paraId="3668993E" w14:textId="77777777" w:rsidR="00104ECF" w:rsidRPr="002F350C" w:rsidRDefault="00104ECF" w:rsidP="00251C6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Study Time</w:t>
      </w:r>
      <w:r w:rsidRPr="002F350C">
        <w:rPr>
          <w:rFonts w:asciiTheme="majorBidi" w:hAnsiTheme="majorBidi" w:cstheme="majorBidi"/>
        </w:rPr>
        <w:t xml:space="preserve"> was categorized into Very Low, Low, Moderate, High, and Very High.</w:t>
      </w:r>
    </w:p>
    <w:p w14:paraId="65CBBF5B" w14:textId="77777777" w:rsidR="00104ECF" w:rsidRPr="002F350C" w:rsidRDefault="00104ECF" w:rsidP="00251C6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Absences</w:t>
      </w:r>
      <w:r w:rsidRPr="002F350C">
        <w:rPr>
          <w:rFonts w:asciiTheme="majorBidi" w:hAnsiTheme="majorBidi" w:cstheme="majorBidi"/>
        </w:rPr>
        <w:t xml:space="preserve"> were grouped into Very Few, Few, Moderate, Many, and Very Many.</w:t>
      </w:r>
    </w:p>
    <w:p w14:paraId="5478EC1C" w14:textId="71E7F749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This transformation helped </w:t>
      </w:r>
      <w:r w:rsidR="006F527B" w:rsidRPr="002F350C">
        <w:rPr>
          <w:rFonts w:asciiTheme="majorBidi" w:hAnsiTheme="majorBidi" w:cstheme="majorBidi"/>
        </w:rPr>
        <w:t>show</w:t>
      </w:r>
      <w:r w:rsidRPr="002F350C">
        <w:rPr>
          <w:rFonts w:asciiTheme="majorBidi" w:hAnsiTheme="majorBidi" w:cstheme="majorBidi"/>
        </w:rPr>
        <w:t xml:space="preserve"> patterns and trends across the dataset.</w:t>
      </w:r>
    </w:p>
    <w:p w14:paraId="3E06D726" w14:textId="77777777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Encoding Categorical Variables</w:t>
      </w:r>
    </w:p>
    <w:p w14:paraId="277892A4" w14:textId="29866DBD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Categorical columns such as Ethnicity, Parental Support, </w:t>
      </w:r>
      <w:r w:rsidR="00AB3A8F" w:rsidRPr="002F350C">
        <w:rPr>
          <w:rFonts w:asciiTheme="majorBidi" w:hAnsiTheme="majorBidi" w:cstheme="majorBidi"/>
        </w:rPr>
        <w:t>Parent Education,</w:t>
      </w:r>
      <w:r w:rsidRPr="002F350C">
        <w:rPr>
          <w:rFonts w:asciiTheme="majorBidi" w:hAnsiTheme="majorBidi" w:cstheme="majorBidi"/>
        </w:rPr>
        <w:t xml:space="preserve"> Grade Class</w:t>
      </w:r>
      <w:r w:rsidR="00AB3A8F" w:rsidRPr="002F350C">
        <w:rPr>
          <w:rFonts w:asciiTheme="majorBidi" w:hAnsiTheme="majorBidi" w:cstheme="majorBidi"/>
        </w:rPr>
        <w:t>, and Gender</w:t>
      </w:r>
      <w:r w:rsidRPr="002F350C">
        <w:rPr>
          <w:rFonts w:asciiTheme="majorBidi" w:hAnsiTheme="majorBidi" w:cstheme="majorBidi"/>
        </w:rPr>
        <w:t xml:space="preserve"> were mapped to descriptive labels. For example:</w:t>
      </w:r>
    </w:p>
    <w:p w14:paraId="579E5C24" w14:textId="77777777" w:rsidR="00104ECF" w:rsidRPr="002F350C" w:rsidRDefault="00104ECF" w:rsidP="00251C61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Ethnicity codes were replaced with labels like Caucasian and African American.</w:t>
      </w:r>
    </w:p>
    <w:p w14:paraId="7141C49D" w14:textId="77777777" w:rsidR="00104ECF" w:rsidRPr="002F350C" w:rsidRDefault="00104ECF" w:rsidP="00251C61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Parental Support levels were converted to terms like Low and Very High, making the data more interpretable.</w:t>
      </w:r>
    </w:p>
    <w:p w14:paraId="614AE1D6" w14:textId="77777777" w:rsidR="00251C61" w:rsidRDefault="00251C61" w:rsidP="00104ECF">
      <w:pPr>
        <w:rPr>
          <w:rFonts w:asciiTheme="majorBidi" w:hAnsiTheme="majorBidi" w:cstheme="majorBidi"/>
        </w:rPr>
      </w:pPr>
    </w:p>
    <w:p w14:paraId="337A1F8F" w14:textId="77777777" w:rsidR="00251C61" w:rsidRDefault="00251C61" w:rsidP="00104ECF">
      <w:pPr>
        <w:rPr>
          <w:rFonts w:asciiTheme="majorBidi" w:hAnsiTheme="majorBidi" w:cstheme="majorBidi"/>
        </w:rPr>
      </w:pPr>
    </w:p>
    <w:p w14:paraId="40DD2557" w14:textId="77777777" w:rsidR="00251C61" w:rsidRDefault="00251C61" w:rsidP="00104ECF">
      <w:pPr>
        <w:rPr>
          <w:rFonts w:asciiTheme="majorBidi" w:hAnsiTheme="majorBidi" w:cstheme="majorBidi"/>
        </w:rPr>
      </w:pPr>
    </w:p>
    <w:p w14:paraId="1949DE28" w14:textId="77777777" w:rsidR="00251C61" w:rsidRDefault="00251C61" w:rsidP="00104ECF">
      <w:pPr>
        <w:rPr>
          <w:rFonts w:asciiTheme="majorBidi" w:hAnsiTheme="majorBidi" w:cstheme="majorBidi"/>
        </w:rPr>
      </w:pPr>
    </w:p>
    <w:p w14:paraId="3E93461B" w14:textId="77777777" w:rsidR="00251C61" w:rsidRDefault="00251C61" w:rsidP="00104ECF">
      <w:pPr>
        <w:rPr>
          <w:rFonts w:asciiTheme="majorBidi" w:hAnsiTheme="majorBidi" w:cstheme="majorBidi"/>
        </w:rPr>
      </w:pPr>
    </w:p>
    <w:p w14:paraId="0571FD31" w14:textId="77777777" w:rsidR="00251C61" w:rsidRDefault="00251C61" w:rsidP="00104ECF">
      <w:pPr>
        <w:rPr>
          <w:rFonts w:asciiTheme="majorBidi" w:hAnsiTheme="majorBidi" w:cstheme="majorBidi"/>
        </w:rPr>
      </w:pPr>
    </w:p>
    <w:p w14:paraId="1CABD512" w14:textId="77777777" w:rsidR="00251C61" w:rsidRDefault="00251C61" w:rsidP="00104ECF">
      <w:pPr>
        <w:rPr>
          <w:rFonts w:asciiTheme="majorBidi" w:hAnsiTheme="majorBidi" w:cstheme="majorBidi"/>
        </w:rPr>
      </w:pPr>
    </w:p>
    <w:p w14:paraId="04E32B63" w14:textId="77777777" w:rsidR="00251C61" w:rsidRDefault="00251C61" w:rsidP="00104ECF">
      <w:pPr>
        <w:rPr>
          <w:rFonts w:asciiTheme="majorBidi" w:hAnsiTheme="majorBidi" w:cstheme="majorBidi"/>
        </w:rPr>
      </w:pPr>
    </w:p>
    <w:p w14:paraId="2BF39FC6" w14:textId="77777777" w:rsidR="00251C61" w:rsidRDefault="00251C61" w:rsidP="00104ECF">
      <w:pPr>
        <w:rPr>
          <w:rFonts w:asciiTheme="majorBidi" w:hAnsiTheme="majorBidi" w:cstheme="majorBidi"/>
        </w:rPr>
      </w:pPr>
    </w:p>
    <w:p w14:paraId="453E3AC2" w14:textId="77777777" w:rsidR="00251C61" w:rsidRDefault="00251C61" w:rsidP="00104ECF">
      <w:pPr>
        <w:rPr>
          <w:rFonts w:asciiTheme="majorBidi" w:hAnsiTheme="majorBidi" w:cstheme="majorBidi"/>
        </w:rPr>
      </w:pPr>
    </w:p>
    <w:p w14:paraId="44F29327" w14:textId="77777777" w:rsidR="00251C61" w:rsidRDefault="00251C61" w:rsidP="00104ECF">
      <w:pPr>
        <w:rPr>
          <w:rFonts w:asciiTheme="majorBidi" w:hAnsiTheme="majorBidi" w:cstheme="majorBidi"/>
        </w:rPr>
      </w:pPr>
    </w:p>
    <w:p w14:paraId="1D123578" w14:textId="77777777" w:rsidR="00251C61" w:rsidRDefault="00251C61" w:rsidP="00104ECF">
      <w:pPr>
        <w:rPr>
          <w:rFonts w:asciiTheme="majorBidi" w:hAnsiTheme="majorBidi" w:cstheme="majorBidi"/>
        </w:rPr>
      </w:pPr>
    </w:p>
    <w:p w14:paraId="56AC4565" w14:textId="77777777" w:rsidR="00251C61" w:rsidRPr="002F350C" w:rsidRDefault="00251C61" w:rsidP="00104ECF">
      <w:pPr>
        <w:rPr>
          <w:rFonts w:asciiTheme="majorBidi" w:hAnsiTheme="majorBidi" w:cstheme="majorBidi"/>
        </w:rPr>
      </w:pPr>
    </w:p>
    <w:p w14:paraId="1A401EF6" w14:textId="5CB6CBD7" w:rsidR="00104ECF" w:rsidRPr="002F350C" w:rsidRDefault="00104ECF" w:rsidP="00104ECF">
      <w:p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lastRenderedPageBreak/>
        <w:t>4. Exploratory Data Analysis (EDA)</w:t>
      </w:r>
      <w:r w:rsidR="009914D1">
        <w:rPr>
          <w:rFonts w:asciiTheme="majorBidi" w:hAnsiTheme="majorBidi" w:cstheme="majorBidi"/>
          <w:b/>
          <w:bCs/>
        </w:rPr>
        <w:t>:</w:t>
      </w:r>
    </w:p>
    <w:p w14:paraId="28F07F9D" w14:textId="7C28F91B" w:rsidR="00104ECF" w:rsidRPr="002F350C" w:rsidRDefault="00A24AFC" w:rsidP="00251C61">
      <w:pPr>
        <w:ind w:firstLine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452D6DCB" wp14:editId="7ABF4524">
            <wp:simplePos x="0" y="0"/>
            <wp:positionH relativeFrom="column">
              <wp:posOffset>2796540</wp:posOffset>
            </wp:positionH>
            <wp:positionV relativeFrom="paragraph">
              <wp:posOffset>3810</wp:posOffset>
            </wp:positionV>
            <wp:extent cx="3275330" cy="2082165"/>
            <wp:effectExtent l="0" t="0" r="1270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2020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12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ECF" w:rsidRPr="002F350C">
        <w:rPr>
          <w:rFonts w:asciiTheme="majorBidi" w:hAnsiTheme="majorBidi" w:cstheme="majorBidi"/>
          <w:b/>
          <w:bCs/>
        </w:rPr>
        <w:t>GPA Distribution</w:t>
      </w:r>
    </w:p>
    <w:p w14:paraId="2D5C7604" w14:textId="05E2D789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The analysis of GPA revealed a </w:t>
      </w:r>
      <w:r w:rsidR="005F1AA6">
        <w:rPr>
          <w:rFonts w:asciiTheme="majorBidi" w:hAnsiTheme="majorBidi" w:cstheme="majorBidi"/>
        </w:rPr>
        <w:t>normalised</w:t>
      </w:r>
      <w:r w:rsidRPr="002F350C">
        <w:rPr>
          <w:rFonts w:asciiTheme="majorBidi" w:hAnsiTheme="majorBidi" w:cstheme="majorBidi"/>
        </w:rPr>
        <w:t xml:space="preserve"> distribution, with the majority of students achieving GPAs between </w:t>
      </w:r>
      <w:r w:rsidRPr="002F350C">
        <w:rPr>
          <w:rFonts w:asciiTheme="majorBidi" w:hAnsiTheme="majorBidi" w:cstheme="majorBidi"/>
          <w:b/>
          <w:bCs/>
        </w:rPr>
        <w:t>2.5 and 3.0</w:t>
      </w:r>
      <w:r w:rsidRPr="002F350C">
        <w:rPr>
          <w:rFonts w:asciiTheme="majorBidi" w:hAnsiTheme="majorBidi" w:cstheme="majorBidi"/>
        </w:rPr>
        <w:t>. This clustering suggests that most students are performing at an average academic level, with fewer excelling above 3.5 or struggling below 2.0.</w:t>
      </w:r>
    </w:p>
    <w:p w14:paraId="2037A975" w14:textId="0617C78C" w:rsidR="00B74C45" w:rsidRPr="002F350C" w:rsidRDefault="00B74C45" w:rsidP="00251C61">
      <w:pPr>
        <w:ind w:left="720"/>
        <w:rPr>
          <w:rFonts w:asciiTheme="majorBidi" w:hAnsiTheme="majorBidi" w:cstheme="majorBidi"/>
        </w:rPr>
      </w:pPr>
    </w:p>
    <w:p w14:paraId="4F2831F9" w14:textId="6187435E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Key Insights:</w:t>
      </w:r>
    </w:p>
    <w:p w14:paraId="5411F1FA" w14:textId="10518132" w:rsidR="00104ECF" w:rsidRPr="002F350C" w:rsidRDefault="00104ECF" w:rsidP="00251C61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Academic Clustering</w:t>
      </w:r>
      <w:r w:rsidRPr="002F350C">
        <w:rPr>
          <w:rFonts w:asciiTheme="majorBidi" w:hAnsiTheme="majorBidi" w:cstheme="majorBidi"/>
        </w:rPr>
        <w:t>:</w:t>
      </w:r>
    </w:p>
    <w:p w14:paraId="4F7CD976" w14:textId="08C72AB3" w:rsidR="00104ECF" w:rsidRPr="002F350C" w:rsidRDefault="00104ECF" w:rsidP="00251C61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Most students fall into the middle-performing range, highlighting an opportunity for targeted academic interventions.</w:t>
      </w:r>
    </w:p>
    <w:p w14:paraId="03AF7550" w14:textId="05BE5CFC" w:rsidR="00104ECF" w:rsidRPr="002F350C" w:rsidRDefault="00104ECF" w:rsidP="00251C61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Room for Improvement</w:t>
      </w:r>
      <w:r w:rsidRPr="002F350C">
        <w:rPr>
          <w:rFonts w:asciiTheme="majorBidi" w:hAnsiTheme="majorBidi" w:cstheme="majorBidi"/>
        </w:rPr>
        <w:t>:</w:t>
      </w:r>
    </w:p>
    <w:p w14:paraId="35263E38" w14:textId="00240810" w:rsidR="00AA57E0" w:rsidRDefault="00104ECF" w:rsidP="00251C61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The relatively low number of students achieving GPAs above 3.5 suggests a need for enrichment programs to support high-achieving students.</w:t>
      </w:r>
    </w:p>
    <w:p w14:paraId="0065C0FC" w14:textId="77777777" w:rsidR="00BE53F5" w:rsidRPr="00BE53F5" w:rsidRDefault="00BE53F5" w:rsidP="00251C61">
      <w:pPr>
        <w:ind w:left="1800"/>
        <w:rPr>
          <w:rFonts w:asciiTheme="majorBidi" w:hAnsiTheme="majorBidi" w:cstheme="majorBidi"/>
        </w:rPr>
      </w:pPr>
    </w:p>
    <w:p w14:paraId="56630C8C" w14:textId="7E02AE98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GPA vs. Study Time Weekly</w:t>
      </w:r>
    </w:p>
    <w:p w14:paraId="30E52802" w14:textId="3E2E599B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An analysis of GPA against study time showed that students who studied more tended to achieve higher GPAs. This positive correlation underscores the importance of consistent study habits for academic success.</w:t>
      </w:r>
    </w:p>
    <w:p w14:paraId="056EA4E5" w14:textId="5A8F56F2" w:rsidR="00A24AFC" w:rsidRPr="002F350C" w:rsidRDefault="00AA57E0" w:rsidP="00104ECF">
      <w:p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6C084F1" wp14:editId="436FC79A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556760" cy="3063875"/>
            <wp:effectExtent l="0" t="0" r="0" b="3175"/>
            <wp:wrapThrough wrapText="bothSides">
              <wp:wrapPolygon edited="0">
                <wp:start x="0" y="0"/>
                <wp:lineTo x="0" y="21488"/>
                <wp:lineTo x="21492" y="21488"/>
                <wp:lineTo x="21492" y="0"/>
                <wp:lineTo x="0" y="0"/>
              </wp:wrapPolygon>
            </wp:wrapThrough>
            <wp:docPr id="127417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0508" name="Picture 1274170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B0DC1" w14:textId="508ABBF1" w:rsidR="00AA57E0" w:rsidRPr="002F350C" w:rsidRDefault="00AA57E0" w:rsidP="00104ECF">
      <w:pPr>
        <w:rPr>
          <w:rFonts w:asciiTheme="majorBidi" w:hAnsiTheme="majorBidi" w:cstheme="majorBidi"/>
        </w:rPr>
      </w:pPr>
    </w:p>
    <w:p w14:paraId="2E16C9F0" w14:textId="01EF9BCA" w:rsidR="00AA57E0" w:rsidRPr="002F350C" w:rsidRDefault="00AA57E0" w:rsidP="00104ECF">
      <w:pPr>
        <w:rPr>
          <w:rFonts w:asciiTheme="majorBidi" w:hAnsiTheme="majorBidi" w:cstheme="majorBidi"/>
        </w:rPr>
      </w:pPr>
    </w:p>
    <w:p w14:paraId="339FE1A6" w14:textId="3EEB206A" w:rsidR="00AA57E0" w:rsidRPr="002F350C" w:rsidRDefault="00AA57E0" w:rsidP="00104ECF">
      <w:pPr>
        <w:rPr>
          <w:rFonts w:asciiTheme="majorBidi" w:hAnsiTheme="majorBidi" w:cstheme="majorBidi"/>
        </w:rPr>
      </w:pPr>
    </w:p>
    <w:p w14:paraId="7F27B938" w14:textId="7BEC0361" w:rsidR="00AA57E0" w:rsidRPr="002F350C" w:rsidRDefault="00AA57E0" w:rsidP="00104ECF">
      <w:pPr>
        <w:rPr>
          <w:rFonts w:asciiTheme="majorBidi" w:hAnsiTheme="majorBidi" w:cstheme="majorBidi"/>
        </w:rPr>
      </w:pPr>
    </w:p>
    <w:p w14:paraId="4C93437D" w14:textId="2D733EBA" w:rsidR="00AA57E0" w:rsidRPr="002F350C" w:rsidRDefault="00AA57E0" w:rsidP="00104ECF">
      <w:pPr>
        <w:rPr>
          <w:rFonts w:asciiTheme="majorBidi" w:hAnsiTheme="majorBidi" w:cstheme="majorBidi"/>
        </w:rPr>
      </w:pPr>
    </w:p>
    <w:p w14:paraId="7C92F019" w14:textId="0D7DB86D" w:rsidR="00AA57E0" w:rsidRPr="002F350C" w:rsidRDefault="00AA57E0" w:rsidP="00104ECF">
      <w:pPr>
        <w:rPr>
          <w:rFonts w:asciiTheme="majorBidi" w:hAnsiTheme="majorBidi" w:cstheme="majorBidi"/>
        </w:rPr>
      </w:pPr>
    </w:p>
    <w:p w14:paraId="40FDA9CF" w14:textId="43B38F5A" w:rsidR="00AA57E0" w:rsidRPr="002F350C" w:rsidRDefault="00AA57E0" w:rsidP="00104ECF">
      <w:pPr>
        <w:rPr>
          <w:rFonts w:asciiTheme="majorBidi" w:hAnsiTheme="majorBidi" w:cstheme="majorBidi"/>
        </w:rPr>
      </w:pPr>
    </w:p>
    <w:p w14:paraId="5E9181A0" w14:textId="77777777" w:rsidR="00AA57E0" w:rsidRPr="002F350C" w:rsidRDefault="00AA57E0" w:rsidP="00104ECF">
      <w:pPr>
        <w:rPr>
          <w:rFonts w:asciiTheme="majorBidi" w:hAnsiTheme="majorBidi" w:cstheme="majorBidi"/>
        </w:rPr>
      </w:pPr>
    </w:p>
    <w:p w14:paraId="5D53C363" w14:textId="77777777" w:rsidR="00AA57E0" w:rsidRPr="002F350C" w:rsidRDefault="00AA57E0" w:rsidP="00104ECF">
      <w:pPr>
        <w:rPr>
          <w:rFonts w:asciiTheme="majorBidi" w:hAnsiTheme="majorBidi" w:cstheme="majorBidi"/>
        </w:rPr>
      </w:pPr>
    </w:p>
    <w:p w14:paraId="0C004F72" w14:textId="77777777" w:rsidR="00AA57E0" w:rsidRPr="002F350C" w:rsidRDefault="00AA57E0" w:rsidP="00104ECF">
      <w:pPr>
        <w:rPr>
          <w:rFonts w:asciiTheme="majorBidi" w:hAnsiTheme="majorBidi" w:cstheme="majorBidi"/>
          <w:b/>
          <w:bCs/>
        </w:rPr>
      </w:pPr>
    </w:p>
    <w:p w14:paraId="7682CBB2" w14:textId="77777777" w:rsidR="00BE53F5" w:rsidRDefault="00BE53F5" w:rsidP="00104ECF">
      <w:pPr>
        <w:rPr>
          <w:rFonts w:asciiTheme="majorBidi" w:hAnsiTheme="majorBidi" w:cstheme="majorBidi"/>
          <w:b/>
          <w:bCs/>
        </w:rPr>
      </w:pPr>
    </w:p>
    <w:p w14:paraId="6A0C9F4B" w14:textId="77777777" w:rsidR="00BE53F5" w:rsidRDefault="00BE53F5" w:rsidP="00104ECF">
      <w:pPr>
        <w:rPr>
          <w:rFonts w:asciiTheme="majorBidi" w:hAnsiTheme="majorBidi" w:cstheme="majorBidi"/>
          <w:b/>
          <w:bCs/>
        </w:rPr>
      </w:pPr>
    </w:p>
    <w:p w14:paraId="0BCA7425" w14:textId="77777777" w:rsidR="00C66D8C" w:rsidRDefault="00C66D8C" w:rsidP="00104ECF">
      <w:pPr>
        <w:rPr>
          <w:rFonts w:asciiTheme="majorBidi" w:hAnsiTheme="majorBidi" w:cstheme="majorBidi"/>
          <w:b/>
          <w:bCs/>
        </w:rPr>
      </w:pPr>
    </w:p>
    <w:p w14:paraId="623CA3B3" w14:textId="6D37ABE5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Absences vs. GPA</w:t>
      </w:r>
    </w:p>
    <w:p w14:paraId="4B60F519" w14:textId="1B5BAB8F" w:rsidR="00104ECF" w:rsidRPr="002F350C" w:rsidRDefault="00104ECF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Fewer absences strongly correlated with higher GPAs. Students with very few absences consistently outperformed those with moderate to high absences, emphasizing the importance of regular attendance in academic achievement.</w:t>
      </w:r>
    </w:p>
    <w:p w14:paraId="6E0056C6" w14:textId="5D42F4C6" w:rsidR="00743A1D" w:rsidRPr="002F350C" w:rsidRDefault="00743A1D" w:rsidP="00251C61">
      <w:pPr>
        <w:ind w:left="72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B545CA" wp14:editId="63147D4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31510" cy="3717290"/>
            <wp:effectExtent l="0" t="0" r="2540" b="0"/>
            <wp:wrapSquare wrapText="bothSides"/>
            <wp:docPr id="1043310846" name="Picture 3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0846" name="Picture 3" descr="A graph showing a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41C4" w14:textId="77777777" w:rsidR="003810DC" w:rsidRPr="002F350C" w:rsidRDefault="003810DC" w:rsidP="00251C61">
      <w:pPr>
        <w:ind w:left="720"/>
        <w:rPr>
          <w:rFonts w:asciiTheme="majorBidi" w:hAnsiTheme="majorBidi" w:cstheme="majorBidi"/>
          <w:b/>
          <w:bCs/>
        </w:rPr>
      </w:pPr>
    </w:p>
    <w:p w14:paraId="658585A2" w14:textId="77777777" w:rsidR="003810DC" w:rsidRPr="002F350C" w:rsidRDefault="003810DC" w:rsidP="00251C61">
      <w:pPr>
        <w:ind w:left="720"/>
        <w:rPr>
          <w:rFonts w:asciiTheme="majorBidi" w:hAnsiTheme="majorBidi" w:cstheme="majorBidi"/>
          <w:b/>
          <w:bCs/>
        </w:rPr>
      </w:pPr>
    </w:p>
    <w:p w14:paraId="61A7AF93" w14:textId="6B98F1EA" w:rsidR="00104ECF" w:rsidRPr="002F350C" w:rsidRDefault="00104ECF" w:rsidP="00251C61">
      <w:pPr>
        <w:ind w:left="720"/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Extracurricular Participation</w:t>
      </w:r>
    </w:p>
    <w:p w14:paraId="79077F07" w14:textId="77777777" w:rsidR="00104ECF" w:rsidRPr="002F350C" w:rsidRDefault="00104ECF" w:rsidP="00251C61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Sports and Music</w:t>
      </w:r>
      <w:r w:rsidRPr="002F350C">
        <w:rPr>
          <w:rFonts w:asciiTheme="majorBidi" w:hAnsiTheme="majorBidi" w:cstheme="majorBidi"/>
        </w:rPr>
        <w:t>:</w:t>
      </w:r>
    </w:p>
    <w:p w14:paraId="2FA12D93" w14:textId="77777777" w:rsidR="00104ECF" w:rsidRPr="002F350C" w:rsidRDefault="00104ECF" w:rsidP="00251C61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participating in sports or music showed slightly better GPAs compared to non-participants.</w:t>
      </w:r>
    </w:p>
    <w:p w14:paraId="555E27F5" w14:textId="77777777" w:rsidR="00104ECF" w:rsidRPr="002F350C" w:rsidRDefault="00104ECF" w:rsidP="00251C61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>Volunteering and Tutoring</w:t>
      </w:r>
      <w:r w:rsidRPr="002F350C">
        <w:rPr>
          <w:rFonts w:asciiTheme="majorBidi" w:hAnsiTheme="majorBidi" w:cstheme="majorBidi"/>
        </w:rPr>
        <w:t>:</w:t>
      </w:r>
    </w:p>
    <w:p w14:paraId="182FCDC1" w14:textId="77777777" w:rsidR="00104ECF" w:rsidRPr="002F350C" w:rsidRDefault="00104ECF" w:rsidP="00251C61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While tutoring had a significant positive impact on GPA, volunteering showed a smaller, yet noticeable, benefit.</w:t>
      </w:r>
    </w:p>
    <w:p w14:paraId="7CF5203A" w14:textId="0F217272" w:rsidR="00104ECF" w:rsidRPr="002F350C" w:rsidRDefault="00104ECF" w:rsidP="00104ECF">
      <w:pPr>
        <w:rPr>
          <w:rFonts w:asciiTheme="majorBidi" w:hAnsiTheme="majorBidi" w:cstheme="majorBidi"/>
        </w:rPr>
      </w:pPr>
    </w:p>
    <w:p w14:paraId="606D5409" w14:textId="77777777" w:rsidR="009914D1" w:rsidRDefault="009914D1" w:rsidP="009914D1">
      <w:pPr>
        <w:pStyle w:val="NormalWeb"/>
      </w:pPr>
      <w:r>
        <w:rPr>
          <w:rStyle w:val="Strong"/>
          <w:rFonts w:eastAsiaTheme="majorEastAsia"/>
        </w:rPr>
        <w:t>5. SQL Table Creation Process</w:t>
      </w:r>
    </w:p>
    <w:p w14:paraId="5D3DC8B7" w14:textId="77777777" w:rsidR="009914D1" w:rsidRDefault="009914D1" w:rsidP="00251C61">
      <w:pPr>
        <w:pStyle w:val="NormalWeb"/>
        <w:ind w:firstLine="360"/>
      </w:pPr>
      <w:r>
        <w:t>To implement the star schema based on the ERD diagram:</w:t>
      </w:r>
    </w:p>
    <w:p w14:paraId="264A0074" w14:textId="77777777" w:rsidR="009914D1" w:rsidRDefault="009914D1" w:rsidP="009914D1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Fact and Dimension Tables:</w:t>
      </w:r>
    </w:p>
    <w:p w14:paraId="0000322B" w14:textId="77777777" w:rsidR="009914D1" w:rsidRDefault="009914D1" w:rsidP="009914D1">
      <w:pPr>
        <w:numPr>
          <w:ilvl w:val="1"/>
          <w:numId w:val="13"/>
        </w:numPr>
        <w:spacing w:before="100" w:beforeAutospacing="1" w:after="100" w:afterAutospacing="1"/>
      </w:pPr>
      <w:r>
        <w:t>The star schema revolves around a central fact table containing measures and keys linking to surrounding dimension tables.</w:t>
      </w:r>
    </w:p>
    <w:p w14:paraId="22914ECD" w14:textId="77777777" w:rsidR="009914D1" w:rsidRDefault="009914D1" w:rsidP="009914D1">
      <w:pPr>
        <w:numPr>
          <w:ilvl w:val="1"/>
          <w:numId w:val="13"/>
        </w:numPr>
        <w:spacing w:before="100" w:beforeAutospacing="1" w:after="100" w:afterAutospacing="1"/>
      </w:pPr>
      <w:r>
        <w:t>In this dataset:</w:t>
      </w:r>
    </w:p>
    <w:p w14:paraId="3B88C446" w14:textId="02D6E75F" w:rsidR="009914D1" w:rsidRDefault="009914D1" w:rsidP="009914D1">
      <w:pPr>
        <w:numPr>
          <w:ilvl w:val="2"/>
          <w:numId w:val="13"/>
        </w:numPr>
        <w:spacing w:before="100" w:beforeAutospacing="1" w:after="100" w:afterAutospacing="1"/>
      </w:pPr>
      <w:r>
        <w:t xml:space="preserve">The </w:t>
      </w:r>
      <w:r>
        <w:rPr>
          <w:rStyle w:val="Strong"/>
          <w:rFonts w:eastAsiaTheme="majorEastAsia"/>
        </w:rPr>
        <w:t>fact table</w:t>
      </w:r>
      <w:r>
        <w:t xml:space="preserve"> is </w:t>
      </w:r>
      <w:r w:rsidR="00251C61">
        <w:rPr>
          <w:rStyle w:val="HTMLCode"/>
          <w:rFonts w:eastAsiaTheme="majorEastAsia"/>
        </w:rPr>
        <w:t>StudentDetails</w:t>
      </w:r>
      <w:r>
        <w:t xml:space="preserve">, as it contains measurable metrics like </w:t>
      </w:r>
      <w:r w:rsidR="00AD709D">
        <w:t>Age</w:t>
      </w:r>
      <w:r>
        <w:t xml:space="preserve">, </w:t>
      </w:r>
      <w:r w:rsidR="00AD709D">
        <w:t>Gender, Ethnicity, Parental Education</w:t>
      </w:r>
      <w:r>
        <w:t>.</w:t>
      </w:r>
    </w:p>
    <w:p w14:paraId="70F33AAF" w14:textId="77777777" w:rsidR="00373FAA" w:rsidRDefault="00373FAA" w:rsidP="00373FAA">
      <w:pPr>
        <w:pStyle w:val="ListParagraph"/>
        <w:numPr>
          <w:ilvl w:val="2"/>
          <w:numId w:val="13"/>
        </w:numPr>
      </w:pPr>
      <w:r>
        <w:t xml:space="preserve">The </w:t>
      </w:r>
      <w:r w:rsidRPr="00373FAA">
        <w:rPr>
          <w:rStyle w:val="Strong"/>
          <w:rFonts w:eastAsiaTheme="majorEastAsia"/>
        </w:rPr>
        <w:t>dimension tables</w:t>
      </w:r>
      <w:r>
        <w:t xml:space="preserve"> include:</w:t>
      </w:r>
    </w:p>
    <w:p w14:paraId="3E1F3872" w14:textId="77777777" w:rsidR="00373FAA" w:rsidRDefault="00373FAA" w:rsidP="00373FAA">
      <w:pPr>
        <w:numPr>
          <w:ilvl w:val="0"/>
          <w:numId w:val="17"/>
        </w:numPr>
        <w:tabs>
          <w:tab w:val="clear" w:pos="720"/>
          <w:tab w:val="num" w:pos="2520"/>
        </w:tabs>
        <w:spacing w:before="100" w:beforeAutospacing="1" w:after="100" w:afterAutospacing="1"/>
        <w:ind w:left="2520"/>
      </w:pPr>
      <w:r>
        <w:rPr>
          <w:rStyle w:val="HTMLCode"/>
          <w:rFonts w:eastAsiaTheme="majorEastAsia"/>
        </w:rPr>
        <w:t>StudentPerformance</w:t>
      </w:r>
      <w:r>
        <w:t>: Contains academic performance data such as GPA, Study Time Weekly, and Grade Class.</w:t>
      </w:r>
    </w:p>
    <w:p w14:paraId="4EC54468" w14:textId="77777777" w:rsidR="00373FAA" w:rsidRDefault="00373FAA" w:rsidP="00373FAA">
      <w:pPr>
        <w:numPr>
          <w:ilvl w:val="0"/>
          <w:numId w:val="17"/>
        </w:numPr>
        <w:tabs>
          <w:tab w:val="clear" w:pos="720"/>
          <w:tab w:val="num" w:pos="2520"/>
        </w:tabs>
        <w:spacing w:before="100" w:beforeAutospacing="1" w:after="100" w:afterAutospacing="1"/>
        <w:ind w:left="2520"/>
      </w:pPr>
      <w:r>
        <w:rPr>
          <w:rStyle w:val="HTMLCode"/>
          <w:rFonts w:eastAsiaTheme="majorEastAsia"/>
        </w:rPr>
        <w:t>StudentEngagement</w:t>
      </w:r>
      <w:r>
        <w:t>: Tracks engagement metrics like Attendance and Extracurricular Participation.</w:t>
      </w:r>
    </w:p>
    <w:p w14:paraId="00DE1F34" w14:textId="77777777" w:rsidR="00373FAA" w:rsidRDefault="00373FAA" w:rsidP="00373FAA">
      <w:pPr>
        <w:numPr>
          <w:ilvl w:val="0"/>
          <w:numId w:val="17"/>
        </w:numPr>
        <w:tabs>
          <w:tab w:val="clear" w:pos="720"/>
          <w:tab w:val="num" w:pos="2520"/>
        </w:tabs>
        <w:spacing w:before="100" w:beforeAutospacing="1" w:after="100" w:afterAutospacing="1"/>
        <w:ind w:left="2520"/>
      </w:pPr>
      <w:r>
        <w:rPr>
          <w:rStyle w:val="HTMLCode"/>
          <w:rFonts w:eastAsiaTheme="majorEastAsia"/>
        </w:rPr>
        <w:lastRenderedPageBreak/>
        <w:t>Gender</w:t>
      </w:r>
      <w:r>
        <w:t xml:space="preserve">, </w:t>
      </w:r>
      <w:r>
        <w:rPr>
          <w:rStyle w:val="HTMLCode"/>
          <w:rFonts w:eastAsiaTheme="majorEastAsia"/>
        </w:rPr>
        <w:t>Ethnicity</w:t>
      </w:r>
      <w:r>
        <w:t xml:space="preserve">, </w:t>
      </w:r>
      <w:r>
        <w:rPr>
          <w:rStyle w:val="HTMLCode"/>
          <w:rFonts w:eastAsiaTheme="majorEastAsia"/>
        </w:rPr>
        <w:t>ParentalEducation</w:t>
      </w:r>
      <w:r>
        <w:t xml:space="preserve">, </w:t>
      </w:r>
      <w:r>
        <w:rPr>
          <w:rStyle w:val="HTMLCode"/>
          <w:rFonts w:eastAsiaTheme="majorEastAsia"/>
        </w:rPr>
        <w:t>ParentalSupport</w:t>
      </w:r>
      <w:r>
        <w:t xml:space="preserve">, and </w:t>
      </w:r>
      <w:r>
        <w:rPr>
          <w:rStyle w:val="HTMLCode"/>
          <w:rFonts w:eastAsiaTheme="majorEastAsia"/>
        </w:rPr>
        <w:t>GradeClass</w:t>
      </w:r>
      <w:r>
        <w:t xml:space="preserve"> for categorical attributes.</w:t>
      </w:r>
    </w:p>
    <w:p w14:paraId="5B49F67B" w14:textId="77777777" w:rsidR="009914D1" w:rsidRDefault="009914D1" w:rsidP="009914D1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SQL Table Creation:</w:t>
      </w:r>
    </w:p>
    <w:p w14:paraId="0FB16114" w14:textId="7D49E891" w:rsidR="009914D1" w:rsidRPr="00373FAA" w:rsidRDefault="009914D1" w:rsidP="00373FAA">
      <w:pPr>
        <w:numPr>
          <w:ilvl w:val="1"/>
          <w:numId w:val="13"/>
        </w:numPr>
        <w:spacing w:before="100" w:beforeAutospacing="1" w:after="100" w:afterAutospacing="1"/>
      </w:pPr>
      <w:r>
        <w:t>Each table was created based on the schema and relationships defined in the ERD diagram</w:t>
      </w:r>
    </w:p>
    <w:p w14:paraId="2C8FB4AD" w14:textId="4310C412" w:rsidR="00373FAA" w:rsidRDefault="00373FAA" w:rsidP="00373FAA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Relationships and Data Integration:</w:t>
      </w:r>
    </w:p>
    <w:p w14:paraId="201326DE" w14:textId="77777777" w:rsidR="00373FAA" w:rsidRDefault="00373FAA" w:rsidP="00373FA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Fact Table Relationships:</w:t>
      </w:r>
    </w:p>
    <w:p w14:paraId="19C6DA35" w14:textId="77777777" w:rsidR="00373FAA" w:rsidRDefault="00373FAA" w:rsidP="00373FAA">
      <w:pPr>
        <w:numPr>
          <w:ilvl w:val="1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StudentDetails</w:t>
      </w:r>
      <w:r>
        <w:t xml:space="preserve"> acts as the central table, storing demographic data (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Gender</w:t>
      </w:r>
      <w:r>
        <w:t xml:space="preserve">, </w:t>
      </w:r>
      <w:r>
        <w:rPr>
          <w:rStyle w:val="HTMLCode"/>
          <w:rFonts w:eastAsiaTheme="majorEastAsia"/>
        </w:rPr>
        <w:t>Ethnicity</w:t>
      </w:r>
      <w:r>
        <w:t xml:space="preserve">, and </w:t>
      </w:r>
      <w:r>
        <w:rPr>
          <w:rStyle w:val="HTMLCode"/>
          <w:rFonts w:eastAsiaTheme="majorEastAsia"/>
        </w:rPr>
        <w:t>ParentalEducation</w:t>
      </w:r>
      <w:r>
        <w:t>) and linking to:</w:t>
      </w:r>
    </w:p>
    <w:p w14:paraId="7CADE8A2" w14:textId="77777777" w:rsidR="00373FAA" w:rsidRDefault="00373FAA" w:rsidP="00373FAA">
      <w:pPr>
        <w:numPr>
          <w:ilvl w:val="2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StudentPerformance</w:t>
      </w:r>
      <w:r>
        <w:t xml:space="preserve"> for academic metrics like </w:t>
      </w:r>
      <w:r>
        <w:rPr>
          <w:rStyle w:val="HTMLCode"/>
          <w:rFonts w:eastAsiaTheme="majorEastAsia"/>
        </w:rPr>
        <w:t>GPA</w:t>
      </w:r>
      <w:r>
        <w:t xml:space="preserve"> and </w:t>
      </w:r>
      <w:r>
        <w:rPr>
          <w:rStyle w:val="HTMLCode"/>
          <w:rFonts w:eastAsiaTheme="majorEastAsia"/>
        </w:rPr>
        <w:t>StudyTimeWeekly</w:t>
      </w:r>
      <w:r>
        <w:t>.</w:t>
      </w:r>
    </w:p>
    <w:p w14:paraId="36C296B3" w14:textId="77777777" w:rsidR="00373FAA" w:rsidRDefault="00373FAA" w:rsidP="00373FAA">
      <w:pPr>
        <w:numPr>
          <w:ilvl w:val="2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StudentEngagement</w:t>
      </w:r>
      <w:r>
        <w:t xml:space="preserve"> for engagement-related metrics.</w:t>
      </w:r>
    </w:p>
    <w:p w14:paraId="621C10A4" w14:textId="77777777" w:rsidR="00373FAA" w:rsidRDefault="00373FAA" w:rsidP="00373FAA">
      <w:pPr>
        <w:numPr>
          <w:ilvl w:val="2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Gender</w:t>
      </w:r>
      <w:r>
        <w:t xml:space="preserve">, </w:t>
      </w:r>
      <w:r>
        <w:rPr>
          <w:rStyle w:val="HTMLCode"/>
          <w:rFonts w:eastAsiaTheme="majorEastAsia"/>
        </w:rPr>
        <w:t>Ethnicity</w:t>
      </w:r>
      <w:r>
        <w:t xml:space="preserve">, </w:t>
      </w:r>
      <w:r>
        <w:rPr>
          <w:rStyle w:val="HTMLCode"/>
          <w:rFonts w:eastAsiaTheme="majorEastAsia"/>
        </w:rPr>
        <w:t>ParentalEducation</w:t>
      </w:r>
      <w:r>
        <w:t xml:space="preserve">, </w:t>
      </w:r>
      <w:r>
        <w:rPr>
          <w:rStyle w:val="HTMLCode"/>
          <w:rFonts w:eastAsiaTheme="majorEastAsia"/>
        </w:rPr>
        <w:t>ParentalSupport</w:t>
      </w:r>
      <w:r>
        <w:t xml:space="preserve">, and </w:t>
      </w:r>
      <w:r>
        <w:rPr>
          <w:rStyle w:val="HTMLCode"/>
          <w:rFonts w:eastAsiaTheme="majorEastAsia"/>
        </w:rPr>
        <w:t>GradeClass</w:t>
      </w:r>
      <w:r>
        <w:t xml:space="preserve"> for categorical dimensions.</w:t>
      </w:r>
    </w:p>
    <w:p w14:paraId="69B74595" w14:textId="77777777" w:rsidR="00373FAA" w:rsidRDefault="00373FAA" w:rsidP="00373FAA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Dimension Table Relationships:</w:t>
      </w:r>
    </w:p>
    <w:p w14:paraId="36F55573" w14:textId="77777777" w:rsidR="00373FAA" w:rsidRDefault="00373FAA" w:rsidP="00373FAA">
      <w:pPr>
        <w:numPr>
          <w:ilvl w:val="1"/>
          <w:numId w:val="18"/>
        </w:numPr>
        <w:spacing w:before="100" w:beforeAutospacing="1" w:after="100" w:afterAutospacing="1"/>
      </w:pPr>
      <w:r>
        <w:t>Each dimension table provides descriptive data for querying and categorization:</w:t>
      </w:r>
    </w:p>
    <w:p w14:paraId="7CDBDAF7" w14:textId="77777777" w:rsidR="00373FAA" w:rsidRDefault="00373FAA" w:rsidP="00373FAA">
      <w:pPr>
        <w:numPr>
          <w:ilvl w:val="2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Gender</w:t>
      </w:r>
      <w:r>
        <w:t xml:space="preserve">, </w:t>
      </w:r>
      <w:r>
        <w:rPr>
          <w:rStyle w:val="HTMLCode"/>
          <w:rFonts w:eastAsiaTheme="majorEastAsia"/>
        </w:rPr>
        <w:t>Ethnicity</w:t>
      </w:r>
      <w:r>
        <w:t xml:space="preserve">, and </w:t>
      </w:r>
      <w:r>
        <w:rPr>
          <w:rStyle w:val="HTMLCode"/>
          <w:rFonts w:eastAsiaTheme="majorEastAsia"/>
        </w:rPr>
        <w:t>ParentalEducation</w:t>
      </w:r>
      <w:r>
        <w:t xml:space="preserve"> define demographic attributes.</w:t>
      </w:r>
    </w:p>
    <w:p w14:paraId="196C2CCB" w14:textId="77777777" w:rsidR="00373FAA" w:rsidRDefault="00373FAA" w:rsidP="00373FAA">
      <w:pPr>
        <w:numPr>
          <w:ilvl w:val="2"/>
          <w:numId w:val="18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GradeClass</w:t>
      </w:r>
      <w:r>
        <w:t xml:space="preserve"> categorizes academic performance.</w:t>
      </w:r>
    </w:p>
    <w:p w14:paraId="3EC9B9DA" w14:textId="1198B7B8" w:rsidR="00373FAA" w:rsidRDefault="00373FAA" w:rsidP="00373FAA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Star Schema Design Benefits:</w:t>
      </w:r>
    </w:p>
    <w:p w14:paraId="5BEBB35D" w14:textId="77777777" w:rsidR="00373FAA" w:rsidRDefault="00373FAA" w:rsidP="00373FAA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Simplicity:</w:t>
      </w:r>
      <w:r>
        <w:t xml:space="preserve"> The star schema design clearly organizes relationships, with </w:t>
      </w:r>
      <w:r>
        <w:rPr>
          <w:rStyle w:val="HTMLCode"/>
          <w:rFonts w:eastAsiaTheme="majorEastAsia"/>
        </w:rPr>
        <w:t>StudentDetails</w:t>
      </w:r>
      <w:r>
        <w:t xml:space="preserve"> at the center and dimension tables surrounding it.</w:t>
      </w:r>
    </w:p>
    <w:p w14:paraId="7C4CE873" w14:textId="77777777" w:rsidR="00373FAA" w:rsidRDefault="00373FAA" w:rsidP="00373FAA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Efficiency:</w:t>
      </w:r>
      <w:r>
        <w:t xml:space="preserve"> Indexed foreign keys enable fast queries, such as joining </w:t>
      </w:r>
      <w:r>
        <w:rPr>
          <w:rStyle w:val="HTMLCode"/>
          <w:rFonts w:eastAsiaTheme="majorEastAsia"/>
        </w:rPr>
        <w:t>StudentDetails</w:t>
      </w:r>
      <w:r>
        <w:t xml:space="preserve"> with </w:t>
      </w:r>
      <w:r>
        <w:rPr>
          <w:rStyle w:val="HTMLCode"/>
          <w:rFonts w:eastAsiaTheme="majorEastAsia"/>
        </w:rPr>
        <w:t>StudentPerformance</w:t>
      </w:r>
      <w:r>
        <w:t xml:space="preserve"> or </w:t>
      </w:r>
      <w:r>
        <w:rPr>
          <w:rStyle w:val="HTMLCode"/>
          <w:rFonts w:eastAsiaTheme="majorEastAsia"/>
        </w:rPr>
        <w:t>StudentEngagement</w:t>
      </w:r>
      <w:r>
        <w:t>.</w:t>
      </w:r>
    </w:p>
    <w:p w14:paraId="2D7E72AC" w14:textId="77777777" w:rsidR="00373FAA" w:rsidRDefault="00373FAA" w:rsidP="00373FAA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Scalability:</w:t>
      </w:r>
      <w:r>
        <w:t xml:space="preserve"> Dimensions can be updated or expanded independently of the fact table, reducing maintenance complexity.</w:t>
      </w:r>
    </w:p>
    <w:p w14:paraId="7A5416AF" w14:textId="5D139AFC" w:rsidR="00373FAA" w:rsidRPr="00373FAA" w:rsidRDefault="00373FAA" w:rsidP="00373FA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373FAA">
        <w:rPr>
          <w:rFonts w:asciiTheme="majorBidi" w:hAnsiTheme="majorBidi" w:cstheme="majorBidi"/>
          <w:b/>
          <w:bCs/>
        </w:rPr>
        <w:t>ERD Alignment:</w:t>
      </w:r>
    </w:p>
    <w:p w14:paraId="06F74019" w14:textId="77777777" w:rsidR="00373FAA" w:rsidRPr="00373FAA" w:rsidRDefault="00373FAA" w:rsidP="00373FAA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373FAA">
        <w:rPr>
          <w:rFonts w:asciiTheme="majorBidi" w:hAnsiTheme="majorBidi" w:cstheme="majorBidi"/>
        </w:rPr>
        <w:t>The ERD diagram visually aligns with the adjusted schema:</w:t>
      </w:r>
    </w:p>
    <w:p w14:paraId="5662B09C" w14:textId="77777777" w:rsidR="00373FAA" w:rsidRPr="00373FAA" w:rsidRDefault="00373FAA" w:rsidP="00373FAA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373FAA">
        <w:rPr>
          <w:rFonts w:asciiTheme="majorBidi" w:hAnsiTheme="majorBidi" w:cstheme="majorBidi"/>
        </w:rPr>
        <w:t>Dimensions like Gender, Ethnicity, and ParentalEducation are directly linked to StudentDetails.</w:t>
      </w:r>
    </w:p>
    <w:p w14:paraId="231E2CFC" w14:textId="77777777" w:rsidR="00373FAA" w:rsidRPr="00373FAA" w:rsidRDefault="00373FAA" w:rsidP="00373FAA">
      <w:pPr>
        <w:numPr>
          <w:ilvl w:val="1"/>
          <w:numId w:val="20"/>
        </w:numPr>
        <w:rPr>
          <w:rFonts w:asciiTheme="majorBidi" w:hAnsiTheme="majorBidi" w:cstheme="majorBidi"/>
          <w:b/>
          <w:bCs/>
        </w:rPr>
      </w:pPr>
      <w:r w:rsidRPr="00373FAA">
        <w:rPr>
          <w:rFonts w:asciiTheme="majorBidi" w:hAnsiTheme="majorBidi" w:cstheme="majorBidi"/>
        </w:rPr>
        <w:t>Additional tables like StudentPerformance and StudentEngagement provide further details about the students, emphasizing StudentDetails as the core fact table.</w:t>
      </w:r>
    </w:p>
    <w:p w14:paraId="7B8B1045" w14:textId="77777777" w:rsidR="002F350C" w:rsidRPr="002F350C" w:rsidRDefault="002F350C" w:rsidP="009914D1">
      <w:pPr>
        <w:ind w:left="720"/>
        <w:rPr>
          <w:rFonts w:asciiTheme="majorBidi" w:hAnsiTheme="majorBidi" w:cstheme="majorBidi"/>
        </w:rPr>
      </w:pPr>
    </w:p>
    <w:p w14:paraId="00E93CF1" w14:textId="77777777" w:rsidR="002F350C" w:rsidRPr="002F350C" w:rsidRDefault="002F350C" w:rsidP="00104ECF">
      <w:pPr>
        <w:rPr>
          <w:rFonts w:asciiTheme="majorBidi" w:hAnsiTheme="majorBidi" w:cstheme="majorBidi"/>
        </w:rPr>
      </w:pPr>
    </w:p>
    <w:p w14:paraId="6921B15C" w14:textId="77777777" w:rsidR="002F350C" w:rsidRDefault="002F350C" w:rsidP="00104ECF">
      <w:pPr>
        <w:rPr>
          <w:rFonts w:asciiTheme="majorBidi" w:hAnsiTheme="majorBidi" w:cstheme="majorBidi"/>
        </w:rPr>
      </w:pPr>
    </w:p>
    <w:p w14:paraId="0A9B2F1F" w14:textId="77777777" w:rsidR="009914D1" w:rsidRDefault="009914D1" w:rsidP="00104ECF">
      <w:pPr>
        <w:rPr>
          <w:rFonts w:asciiTheme="majorBidi" w:hAnsiTheme="majorBidi" w:cstheme="majorBidi"/>
        </w:rPr>
      </w:pPr>
    </w:p>
    <w:p w14:paraId="7833D8CC" w14:textId="77777777" w:rsidR="009914D1" w:rsidRDefault="009914D1" w:rsidP="00104ECF">
      <w:pPr>
        <w:rPr>
          <w:rFonts w:asciiTheme="majorBidi" w:hAnsiTheme="majorBidi" w:cstheme="majorBidi"/>
        </w:rPr>
      </w:pPr>
    </w:p>
    <w:p w14:paraId="3FBCFCB5" w14:textId="77777777" w:rsidR="009914D1" w:rsidRDefault="009914D1" w:rsidP="00104ECF">
      <w:pPr>
        <w:rPr>
          <w:rFonts w:asciiTheme="majorBidi" w:hAnsiTheme="majorBidi" w:cstheme="majorBidi"/>
        </w:rPr>
      </w:pPr>
    </w:p>
    <w:p w14:paraId="7D5D6644" w14:textId="77777777" w:rsidR="009914D1" w:rsidRDefault="009914D1" w:rsidP="00104ECF">
      <w:pPr>
        <w:rPr>
          <w:rFonts w:asciiTheme="majorBidi" w:hAnsiTheme="majorBidi" w:cstheme="majorBidi"/>
        </w:rPr>
      </w:pPr>
    </w:p>
    <w:p w14:paraId="60425D52" w14:textId="77777777" w:rsidR="009914D1" w:rsidRDefault="009914D1" w:rsidP="00104ECF">
      <w:pPr>
        <w:rPr>
          <w:rFonts w:asciiTheme="majorBidi" w:hAnsiTheme="majorBidi" w:cstheme="majorBidi"/>
        </w:rPr>
      </w:pPr>
    </w:p>
    <w:p w14:paraId="25A41500" w14:textId="77777777" w:rsidR="009914D1" w:rsidRDefault="009914D1" w:rsidP="00104ECF">
      <w:pPr>
        <w:rPr>
          <w:rFonts w:asciiTheme="majorBidi" w:hAnsiTheme="majorBidi" w:cstheme="majorBidi"/>
        </w:rPr>
      </w:pPr>
    </w:p>
    <w:p w14:paraId="3D3EEFBE" w14:textId="77777777" w:rsidR="002F350C" w:rsidRDefault="002F350C" w:rsidP="00104ECF">
      <w:pPr>
        <w:rPr>
          <w:rFonts w:asciiTheme="majorBidi" w:hAnsiTheme="majorBidi" w:cstheme="majorBidi"/>
        </w:rPr>
      </w:pPr>
    </w:p>
    <w:p w14:paraId="35166574" w14:textId="77777777" w:rsidR="00373FAA" w:rsidRPr="002F350C" w:rsidRDefault="00373FAA" w:rsidP="00104ECF">
      <w:pPr>
        <w:rPr>
          <w:rFonts w:asciiTheme="majorBidi" w:hAnsiTheme="majorBidi" w:cstheme="majorBidi"/>
        </w:rPr>
      </w:pPr>
    </w:p>
    <w:p w14:paraId="799DB73A" w14:textId="77777777" w:rsidR="002F350C" w:rsidRPr="002F350C" w:rsidRDefault="002F350C" w:rsidP="002F350C">
      <w:pPr>
        <w:jc w:val="center"/>
        <w:rPr>
          <w:rFonts w:asciiTheme="majorBidi" w:hAnsiTheme="majorBidi" w:cstheme="majorBidi"/>
          <w:lang w:val="en-US"/>
        </w:rPr>
      </w:pPr>
      <w:r w:rsidRPr="002F350C">
        <w:rPr>
          <w:rFonts w:asciiTheme="majorBidi" w:hAnsiTheme="majorBidi" w:cstheme="majorBidi"/>
          <w:lang w:val="en-US"/>
        </w:rPr>
        <w:lastRenderedPageBreak/>
        <w:t>Education Performance Analysis</w:t>
      </w:r>
    </w:p>
    <w:p w14:paraId="328B28AD" w14:textId="77777777" w:rsidR="002F350C" w:rsidRPr="002F350C" w:rsidRDefault="002F350C" w:rsidP="002F350C">
      <w:pPr>
        <w:jc w:val="center"/>
        <w:rPr>
          <w:rFonts w:asciiTheme="majorBidi" w:hAnsiTheme="majorBidi" w:cstheme="majorBidi"/>
          <w:lang w:val="en-US"/>
        </w:rPr>
      </w:pPr>
    </w:p>
    <w:p w14:paraId="1FA45163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  <w:lang w:val="en-US"/>
        </w:rPr>
      </w:pPr>
      <w:r w:rsidRPr="002F350C">
        <w:rPr>
          <w:rFonts w:asciiTheme="majorBidi" w:hAnsiTheme="majorBidi" w:cstheme="majorBidi"/>
          <w:b/>
          <w:bCs/>
          <w:u w:val="single"/>
          <w:lang w:val="en-US"/>
        </w:rPr>
        <w:t>Counts:</w:t>
      </w:r>
    </w:p>
    <w:p w14:paraId="7DD302F3" w14:textId="77777777" w:rsidR="002F350C" w:rsidRPr="002F350C" w:rsidRDefault="002F350C" w:rsidP="002F35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F350C">
        <w:rPr>
          <w:rFonts w:asciiTheme="majorBidi" w:hAnsiTheme="majorBidi" w:cstheme="majorBidi"/>
          <w:lang w:val="en-US"/>
        </w:rPr>
        <w:t>There are 2392 total students</w:t>
      </w:r>
    </w:p>
    <w:p w14:paraId="23252921" w14:textId="77777777" w:rsidR="002F350C" w:rsidRPr="002F350C" w:rsidRDefault="002F350C" w:rsidP="002F35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F350C">
        <w:rPr>
          <w:rFonts w:asciiTheme="majorBidi" w:hAnsiTheme="majorBidi" w:cstheme="majorBidi"/>
          <w:lang w:val="en-US"/>
        </w:rPr>
        <w:t>The grade “F” has the greatest number of students with 1211 students meanwhile the grade “A” has the least.</w:t>
      </w:r>
    </w:p>
    <w:p w14:paraId="63A78C69" w14:textId="77777777" w:rsidR="002F350C" w:rsidRPr="002F350C" w:rsidRDefault="002F350C" w:rsidP="002F35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F350C">
        <w:rPr>
          <w:rFonts w:asciiTheme="majorBidi" w:hAnsiTheme="majorBidi" w:cstheme="majorBidi"/>
          <w:lang w:val="en-US"/>
        </w:rPr>
        <w:t xml:space="preserve">The Caucasian ethnicity has the greatest number of students with 1207 students, and the average being around 50.46% of all students, which could be due to the fact of the school </w:t>
      </w:r>
      <w:proofErr w:type="gramStart"/>
      <w:r w:rsidRPr="002F350C">
        <w:rPr>
          <w:rFonts w:asciiTheme="majorBidi" w:hAnsiTheme="majorBidi" w:cstheme="majorBidi"/>
          <w:lang w:val="en-US"/>
        </w:rPr>
        <w:t>being located in</w:t>
      </w:r>
      <w:proofErr w:type="gramEnd"/>
      <w:r w:rsidRPr="002F350C">
        <w:rPr>
          <w:rFonts w:asciiTheme="majorBidi" w:hAnsiTheme="majorBidi" w:cstheme="majorBidi"/>
          <w:lang w:val="en-US"/>
        </w:rPr>
        <w:t xml:space="preserve"> Europe.</w:t>
      </w:r>
    </w:p>
    <w:p w14:paraId="1A89E078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</w:p>
    <w:p w14:paraId="36750D32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  <w:r w:rsidRPr="002F350C">
        <w:rPr>
          <w:rFonts w:asciiTheme="majorBidi" w:hAnsiTheme="majorBidi" w:cstheme="majorBidi"/>
          <w:b/>
          <w:bCs/>
          <w:u w:val="single"/>
        </w:rPr>
        <w:t>GPA Analysis</w:t>
      </w:r>
    </w:p>
    <w:p w14:paraId="43881A72" w14:textId="77777777" w:rsidR="002F350C" w:rsidRPr="002F350C" w:rsidRDefault="002F350C" w:rsidP="002F350C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Parental Education:</w:t>
      </w:r>
    </w:p>
    <w:p w14:paraId="576B54BD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 xml:space="preserve">Students whose parents completed high </w:t>
      </w:r>
      <w:proofErr w:type="gramStart"/>
      <w:r w:rsidRPr="002F350C">
        <w:rPr>
          <w:rFonts w:asciiTheme="majorBidi" w:hAnsiTheme="majorBidi" w:cstheme="majorBidi"/>
        </w:rPr>
        <w:t>school</w:t>
      </w:r>
      <w:proofErr w:type="gramEnd"/>
      <w:r w:rsidRPr="002F350C">
        <w:rPr>
          <w:rFonts w:asciiTheme="majorBidi" w:hAnsiTheme="majorBidi" w:cstheme="majorBidi"/>
        </w:rPr>
        <w:t xml:space="preserve"> or college had the highest average GPAs of 1.95 and 1.30, respectively.</w:t>
      </w:r>
    </w:p>
    <w:p w14:paraId="4B9EC1E2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Interestingly, students whose parents held bachelor’s degrees or higher had slightly lower average GPAs of 1.81 and 1.82, suggesting a potential inverse correlation between higher parental education and student GPA.</w:t>
      </w:r>
    </w:p>
    <w:p w14:paraId="2480D22C" w14:textId="77777777" w:rsidR="002F350C" w:rsidRPr="002F350C" w:rsidRDefault="002F350C" w:rsidP="002F350C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Parental Support:</w:t>
      </w:r>
    </w:p>
    <w:p w14:paraId="7D0B9801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Very high parental support was associated with the highest average GPA of 2.19.</w:t>
      </w:r>
    </w:p>
    <w:p w14:paraId="40D35D24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with no parental support had the lowest average GPA of 1.54.</w:t>
      </w:r>
    </w:p>
    <w:p w14:paraId="07A914CF" w14:textId="77777777" w:rsidR="002F350C" w:rsidRPr="002F350C" w:rsidRDefault="002F350C" w:rsidP="002F350C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Gender:</w:t>
      </w:r>
    </w:p>
    <w:p w14:paraId="7C8FFDCC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Male students slightly outperformed females, with an average GPA of 1.91 compared to 1.89 for females.</w:t>
      </w:r>
    </w:p>
    <w:p w14:paraId="3B086895" w14:textId="77777777" w:rsidR="002F350C" w:rsidRPr="002F350C" w:rsidRDefault="002F350C" w:rsidP="002F350C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Absences:</w:t>
      </w:r>
    </w:p>
    <w:p w14:paraId="4CA0DE24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Attendance strongly influenced performance:</w:t>
      </w:r>
    </w:p>
    <w:p w14:paraId="5276E5E4" w14:textId="77777777" w:rsidR="002F350C" w:rsidRPr="002F350C" w:rsidRDefault="002F350C" w:rsidP="002F350C">
      <w:pPr>
        <w:numPr>
          <w:ilvl w:val="2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with very few absences had the highest average GPA of 3.16.</w:t>
      </w:r>
    </w:p>
    <w:p w14:paraId="365E3B5D" w14:textId="77777777" w:rsidR="002F350C" w:rsidRPr="002F350C" w:rsidRDefault="002F350C" w:rsidP="002F350C">
      <w:pPr>
        <w:numPr>
          <w:ilvl w:val="2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with very many absences had the lowest average GPA of 0.93.</w:t>
      </w:r>
    </w:p>
    <w:p w14:paraId="581828F7" w14:textId="77777777" w:rsidR="002F350C" w:rsidRPr="002F350C" w:rsidRDefault="002F350C" w:rsidP="002F350C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  <w:b/>
          <w:bCs/>
        </w:rPr>
        <w:t xml:space="preserve">Key Insight: </w:t>
      </w:r>
      <w:r w:rsidRPr="002F350C">
        <w:rPr>
          <w:rFonts w:asciiTheme="majorBidi" w:hAnsiTheme="majorBidi" w:cstheme="majorBidi"/>
        </w:rPr>
        <w:t>Attendance is a critical factor in student success.</w:t>
      </w:r>
    </w:p>
    <w:p w14:paraId="31E85ED4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</w:p>
    <w:p w14:paraId="3A8AAF5A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  <w:r w:rsidRPr="002F350C">
        <w:rPr>
          <w:rFonts w:asciiTheme="majorBidi" w:hAnsiTheme="majorBidi" w:cstheme="majorBidi"/>
          <w:b/>
          <w:bCs/>
          <w:u w:val="single"/>
        </w:rPr>
        <w:t>Extracurricular Activities</w:t>
      </w:r>
    </w:p>
    <w:p w14:paraId="7575DC58" w14:textId="77777777" w:rsidR="002F350C" w:rsidRPr="002F350C" w:rsidRDefault="002F350C" w:rsidP="002F350C">
      <w:pPr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Tutoring:</w:t>
      </w:r>
    </w:p>
    <w:p w14:paraId="45931534" w14:textId="77777777" w:rsidR="002F350C" w:rsidRPr="002F350C" w:rsidRDefault="002F350C" w:rsidP="002F350C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who received tutoring achieved a higher average GPA of 2.10, compared to 1.81 for those who didn’t.</w:t>
      </w:r>
    </w:p>
    <w:p w14:paraId="36A141AF" w14:textId="77777777" w:rsidR="002F350C" w:rsidRPr="002F350C" w:rsidRDefault="002F350C" w:rsidP="002F350C">
      <w:pPr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Participation in Activities:</w:t>
      </w:r>
    </w:p>
    <w:p w14:paraId="6361AF96" w14:textId="77777777" w:rsidR="002F350C" w:rsidRPr="002F350C" w:rsidRDefault="002F350C" w:rsidP="002F350C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involved in extracurricular activities had an average GPA of 2.01, outperforming those who didn’t (1.83).</w:t>
      </w:r>
    </w:p>
    <w:p w14:paraId="359A059A" w14:textId="77777777" w:rsidR="002F350C" w:rsidRPr="002F350C" w:rsidRDefault="002F350C" w:rsidP="002F350C">
      <w:pPr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Sports:</w:t>
      </w:r>
    </w:p>
    <w:p w14:paraId="70D5C54D" w14:textId="77777777" w:rsidR="002F350C" w:rsidRPr="002F350C" w:rsidRDefault="002F350C" w:rsidP="002F350C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who played sports had a slightly higher average GPA of 1.89, compared to 1.87 for those who didn’t.</w:t>
      </w:r>
    </w:p>
    <w:p w14:paraId="53FF0B70" w14:textId="77777777" w:rsidR="002F350C" w:rsidRPr="002F350C" w:rsidRDefault="002F350C" w:rsidP="002F350C">
      <w:pPr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Music:</w:t>
      </w:r>
    </w:p>
    <w:p w14:paraId="7A66BA40" w14:textId="77777777" w:rsidR="002F350C" w:rsidRPr="002F350C" w:rsidRDefault="002F350C" w:rsidP="002F350C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Students who played musical instruments achieved an average GPA of 2.04, outperforming those who didn’t (1.87).</w:t>
      </w:r>
    </w:p>
    <w:p w14:paraId="52041F09" w14:textId="77777777" w:rsidR="002F350C" w:rsidRPr="002F350C" w:rsidRDefault="002F350C" w:rsidP="002F350C">
      <w:pPr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2F350C">
        <w:rPr>
          <w:rFonts w:asciiTheme="majorBidi" w:hAnsiTheme="majorBidi" w:cstheme="majorBidi"/>
          <w:b/>
          <w:bCs/>
        </w:rPr>
        <w:t>Volunteering:</w:t>
      </w:r>
    </w:p>
    <w:p w14:paraId="03278ACB" w14:textId="77777777" w:rsidR="002F350C" w:rsidRPr="002F350C" w:rsidRDefault="002F350C" w:rsidP="002F350C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The difference here was minimal: students who volunteered had an average GPA of 1.91, compared to 1.90 for those who didn’t.</w:t>
      </w:r>
    </w:p>
    <w:p w14:paraId="1F043E27" w14:textId="77777777" w:rsid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</w:p>
    <w:p w14:paraId="36D24C8B" w14:textId="77777777" w:rsidR="001553E2" w:rsidRDefault="001553E2" w:rsidP="002F350C">
      <w:pPr>
        <w:rPr>
          <w:rFonts w:asciiTheme="majorBidi" w:hAnsiTheme="majorBidi" w:cstheme="majorBidi"/>
          <w:b/>
          <w:bCs/>
          <w:u w:val="single"/>
        </w:rPr>
      </w:pPr>
    </w:p>
    <w:p w14:paraId="18C50747" w14:textId="77777777" w:rsidR="00BE53F5" w:rsidRDefault="00BE53F5" w:rsidP="002F350C">
      <w:pPr>
        <w:rPr>
          <w:rFonts w:asciiTheme="majorBidi" w:hAnsiTheme="majorBidi" w:cstheme="majorBidi"/>
          <w:b/>
          <w:bCs/>
          <w:u w:val="single"/>
        </w:rPr>
      </w:pPr>
    </w:p>
    <w:p w14:paraId="00D11EB0" w14:textId="679D4DF8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</w:rPr>
      </w:pPr>
      <w:r w:rsidRPr="002F350C">
        <w:rPr>
          <w:rFonts w:asciiTheme="majorBidi" w:hAnsiTheme="majorBidi" w:cstheme="majorBidi"/>
          <w:b/>
          <w:bCs/>
          <w:u w:val="single"/>
        </w:rPr>
        <w:lastRenderedPageBreak/>
        <w:t>Key Takeaways:</w:t>
      </w:r>
    </w:p>
    <w:p w14:paraId="7192F91C" w14:textId="77777777" w:rsidR="002F350C" w:rsidRPr="002F350C" w:rsidRDefault="002F350C" w:rsidP="002F350C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Absences have the most significant impact on GPA, with very few absences linked to much higher performance.</w:t>
      </w:r>
    </w:p>
    <w:p w14:paraId="2E6BA9B3" w14:textId="77777777" w:rsidR="002F350C" w:rsidRPr="002F350C" w:rsidRDefault="002F350C" w:rsidP="002F350C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2F350C">
        <w:rPr>
          <w:rFonts w:asciiTheme="majorBidi" w:hAnsiTheme="majorBidi" w:cstheme="majorBidi"/>
        </w:rPr>
        <w:t>Parental support plays a crucial role, with very high support resulting in better GPAs.</w:t>
      </w:r>
    </w:p>
    <w:p w14:paraId="735A0713" w14:textId="77777777" w:rsidR="002F350C" w:rsidRPr="002F350C" w:rsidRDefault="002F350C" w:rsidP="002F350C">
      <w:pPr>
        <w:numPr>
          <w:ilvl w:val="0"/>
          <w:numId w:val="12"/>
        </w:numPr>
        <w:rPr>
          <w:rFonts w:asciiTheme="majorBidi" w:hAnsiTheme="majorBidi" w:cstheme="majorBidi"/>
          <w:b/>
          <w:bCs/>
          <w:u w:val="single"/>
        </w:rPr>
      </w:pPr>
      <w:r w:rsidRPr="002F350C">
        <w:rPr>
          <w:rFonts w:asciiTheme="majorBidi" w:hAnsiTheme="majorBidi" w:cstheme="majorBidi"/>
        </w:rPr>
        <w:t>Extracurricular activities, especially tutoring and music, show a positive impact on academic performance.</w:t>
      </w:r>
    </w:p>
    <w:p w14:paraId="5FCE55F1" w14:textId="77777777" w:rsidR="002F350C" w:rsidRPr="002F350C" w:rsidRDefault="002F350C" w:rsidP="002F350C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09C3E9ED" w14:textId="77777777" w:rsidR="002F350C" w:rsidRPr="002F350C" w:rsidRDefault="002F350C" w:rsidP="002F350C">
      <w:pPr>
        <w:rPr>
          <w:rFonts w:asciiTheme="majorBidi" w:hAnsiTheme="majorBidi" w:cstheme="majorBidi"/>
          <w:lang w:val="en-US"/>
        </w:rPr>
      </w:pPr>
    </w:p>
    <w:p w14:paraId="2A5E4274" w14:textId="77777777" w:rsidR="002F350C" w:rsidRPr="002F350C" w:rsidRDefault="002F350C" w:rsidP="00104ECF">
      <w:pPr>
        <w:rPr>
          <w:rFonts w:asciiTheme="majorBidi" w:hAnsiTheme="majorBidi" w:cstheme="majorBidi"/>
          <w:lang w:val="en-US"/>
        </w:rPr>
      </w:pPr>
    </w:p>
    <w:p w14:paraId="2A740153" w14:textId="4827038B" w:rsidR="00AD400C" w:rsidRPr="002F350C" w:rsidRDefault="00AD400C" w:rsidP="003810DC">
      <w:pPr>
        <w:rPr>
          <w:rFonts w:asciiTheme="majorBidi" w:hAnsiTheme="majorBidi" w:cstheme="majorBidi"/>
        </w:rPr>
      </w:pPr>
    </w:p>
    <w:sectPr w:rsidR="00AD400C" w:rsidRPr="002F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17C7"/>
    <w:multiLevelType w:val="multilevel"/>
    <w:tmpl w:val="CA0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2C3A"/>
    <w:multiLevelType w:val="multilevel"/>
    <w:tmpl w:val="C1F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2546"/>
    <w:multiLevelType w:val="multilevel"/>
    <w:tmpl w:val="2F649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A0EF8"/>
    <w:multiLevelType w:val="multilevel"/>
    <w:tmpl w:val="DB5629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86FF5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A0B12"/>
    <w:multiLevelType w:val="hybridMultilevel"/>
    <w:tmpl w:val="CFFC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E32"/>
    <w:multiLevelType w:val="multilevel"/>
    <w:tmpl w:val="6CF0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D6C5F"/>
    <w:multiLevelType w:val="multilevel"/>
    <w:tmpl w:val="80BE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40B7"/>
    <w:multiLevelType w:val="multilevel"/>
    <w:tmpl w:val="B664A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877F4"/>
    <w:multiLevelType w:val="multilevel"/>
    <w:tmpl w:val="330CAF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80F46"/>
    <w:multiLevelType w:val="multilevel"/>
    <w:tmpl w:val="557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3015D"/>
    <w:multiLevelType w:val="multilevel"/>
    <w:tmpl w:val="FF167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50580"/>
    <w:multiLevelType w:val="multilevel"/>
    <w:tmpl w:val="47EA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84158"/>
    <w:multiLevelType w:val="multilevel"/>
    <w:tmpl w:val="177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84EA1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82282"/>
    <w:multiLevelType w:val="multilevel"/>
    <w:tmpl w:val="159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C1205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7030C"/>
    <w:multiLevelType w:val="multilevel"/>
    <w:tmpl w:val="39A86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22BB6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83A34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11985">
    <w:abstractNumId w:val="16"/>
  </w:num>
  <w:num w:numId="2" w16cid:durableId="1453209399">
    <w:abstractNumId w:val="4"/>
  </w:num>
  <w:num w:numId="3" w16cid:durableId="542328469">
    <w:abstractNumId w:val="18"/>
  </w:num>
  <w:num w:numId="4" w16cid:durableId="739988206">
    <w:abstractNumId w:val="19"/>
  </w:num>
  <w:num w:numId="5" w16cid:durableId="2065908014">
    <w:abstractNumId w:val="15"/>
  </w:num>
  <w:num w:numId="6" w16cid:durableId="2089842712">
    <w:abstractNumId w:val="12"/>
  </w:num>
  <w:num w:numId="7" w16cid:durableId="1490101078">
    <w:abstractNumId w:val="6"/>
  </w:num>
  <w:num w:numId="8" w16cid:durableId="862286153">
    <w:abstractNumId w:val="14"/>
  </w:num>
  <w:num w:numId="9" w16cid:durableId="847909475">
    <w:abstractNumId w:val="5"/>
  </w:num>
  <w:num w:numId="10" w16cid:durableId="331764257">
    <w:abstractNumId w:val="13"/>
  </w:num>
  <w:num w:numId="11" w16cid:durableId="98186239">
    <w:abstractNumId w:val="1"/>
  </w:num>
  <w:num w:numId="12" w16cid:durableId="1883323129">
    <w:abstractNumId w:val="0"/>
  </w:num>
  <w:num w:numId="13" w16cid:durableId="795835114">
    <w:abstractNumId w:val="7"/>
  </w:num>
  <w:num w:numId="14" w16cid:durableId="1412580559">
    <w:abstractNumId w:val="9"/>
  </w:num>
  <w:num w:numId="15" w16cid:durableId="376513558">
    <w:abstractNumId w:val="2"/>
  </w:num>
  <w:num w:numId="16" w16cid:durableId="714743274">
    <w:abstractNumId w:val="3"/>
  </w:num>
  <w:num w:numId="17" w16cid:durableId="1757628314">
    <w:abstractNumId w:val="10"/>
  </w:num>
  <w:num w:numId="18" w16cid:durableId="1894265168">
    <w:abstractNumId w:val="17"/>
  </w:num>
  <w:num w:numId="19" w16cid:durableId="887491824">
    <w:abstractNumId w:val="8"/>
  </w:num>
  <w:num w:numId="20" w16cid:durableId="6147969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CF"/>
    <w:rsid w:val="00104ECF"/>
    <w:rsid w:val="00142714"/>
    <w:rsid w:val="001553E2"/>
    <w:rsid w:val="00251C61"/>
    <w:rsid w:val="002F350C"/>
    <w:rsid w:val="00373FAA"/>
    <w:rsid w:val="003810DC"/>
    <w:rsid w:val="00396291"/>
    <w:rsid w:val="00414028"/>
    <w:rsid w:val="00483F3D"/>
    <w:rsid w:val="005A2184"/>
    <w:rsid w:val="005F1AA6"/>
    <w:rsid w:val="006F527B"/>
    <w:rsid w:val="00720F0A"/>
    <w:rsid w:val="00743A1D"/>
    <w:rsid w:val="007C5566"/>
    <w:rsid w:val="009914D1"/>
    <w:rsid w:val="00A24AFC"/>
    <w:rsid w:val="00A6370F"/>
    <w:rsid w:val="00AA57E0"/>
    <w:rsid w:val="00AB3A8F"/>
    <w:rsid w:val="00AD400C"/>
    <w:rsid w:val="00AD709D"/>
    <w:rsid w:val="00B74C45"/>
    <w:rsid w:val="00BE53F5"/>
    <w:rsid w:val="00C652E4"/>
    <w:rsid w:val="00C66D8C"/>
    <w:rsid w:val="00C732F2"/>
    <w:rsid w:val="00DF0B0E"/>
    <w:rsid w:val="00E21C7C"/>
    <w:rsid w:val="00EC68C0"/>
    <w:rsid w:val="00F06C14"/>
    <w:rsid w:val="00F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9A32"/>
  <w15:chartTrackingRefBased/>
  <w15:docId w15:val="{24834639-E9D0-4C1F-B2BB-050109C1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E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E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14D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14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16BC-593D-43F5-8CC0-D2371F0A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Kenzy Younis</dc:creator>
  <cp:keywords/>
  <dc:description/>
  <cp:lastModifiedBy>Ali Mahmoud Mohamed Farouk ElRogbany</cp:lastModifiedBy>
  <cp:revision>31</cp:revision>
  <dcterms:created xsi:type="dcterms:W3CDTF">2024-12-18T21:03:00Z</dcterms:created>
  <dcterms:modified xsi:type="dcterms:W3CDTF">2024-12-19T08:36:00Z</dcterms:modified>
</cp:coreProperties>
</file>