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17.png" ContentType="image/png"/>
  <Override PartName="/word/media/rId33.png" ContentType="image/png"/>
  <Override PartName="/word/media/rId20.png" ContentType="image/png"/>
  <Override PartName="/word/media/rId3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Building and Evaluating a Retrieval-Augmented Generation System on FinanceBench</w:t>
      </w:r>
    </w:p>
    <w:p>
      <w:pPr>
        <w:pStyle w:val="Author"/>
      </w:pPr>
      <w:r>
        <w:t xml:space="preserve">Marwane Mhenni</w:t>
      </w:r>
    </w:p>
    <w:p>
      <w:pPr>
        <w:pStyle w:val="Author"/>
      </w:pPr>
      <w:r>
        <w:t xml:space="preserve">Hamza El hamdi</w:t>
      </w:r>
    </w:p>
    <w:p>
      <w:pPr>
        <w:pStyle w:val="Author"/>
      </w:pPr>
      <w:r>
        <w:t xml:space="preserve">Ali Cherri</w:t>
      </w:r>
    </w:p>
    <w:p>
      <w:pPr>
        <w:pStyle w:val="Date"/>
      </w:pPr>
      <w:r>
        <w:t xml:space="preserve">NLP Graded Project A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Retrieval-Augmented Generation (RAG) grounds a language model’s answers in a</w:t>
      </w:r>
      <w:r>
        <w:t xml:space="preserve"> </w:t>
      </w:r>
      <w:r>
        <w:t xml:space="preserve">closed document collection: passages relevant to the question are retrieved</w:t>
      </w:r>
      <w:r>
        <w:t xml:space="preserve"> </w:t>
      </w:r>
      <w:r>
        <w:t xml:space="preserve">from an indexed corpus and the model is instructed to answer from them alone.</w:t>
      </w:r>
      <w:r>
        <w:t xml:space="preserve"> </w:t>
      </w:r>
      <w:r>
        <w:t xml:space="preserve">This report presents the design, implementation, and experimental evaluation</w:t>
      </w:r>
      <w:r>
        <w:t xml:space="preserve"> </w:t>
      </w:r>
      <w:r>
        <w:t xml:space="preserve">of a complete RAG pipeline for financial question answering over SEC filings,</w:t>
      </w:r>
      <w:r>
        <w:t xml:space="preserve"> </w:t>
      </w:r>
      <w:r>
        <w:t xml:space="preserve">evaluated on the FinanceBench benchmark.</w:t>
      </w:r>
    </w:p>
    <w:p>
      <w:pPr>
        <w:pStyle w:val="BodyText"/>
      </w:pPr>
      <w:r>
        <w:t xml:space="preserve">Our goal is not a single headline score but a controlled study of which design</w:t>
      </w:r>
      <w:r>
        <w:t xml:space="preserve"> </w:t>
      </w:r>
      <w:r>
        <w:t xml:space="preserve">decisions matter. We sweep 41 retrieval configurations across six axes (chunk</w:t>
      </w:r>
      <w:r>
        <w:t xml:space="preserve"> </w:t>
      </w:r>
      <w:r>
        <w:t xml:space="preserve">size, chunk overlap, document structure preservation, embedding model, number</w:t>
      </w:r>
      <w:r>
        <w:t xml:space="preserve"> </w:t>
      </w:r>
      <w:r>
        <w:t xml:space="preserve">of retrieved passages, and retrieval strategy, including a metadata prefilter</w:t>
      </w:r>
      <w:r>
        <w:t xml:space="preserve"> </w:t>
      </w:r>
      <w:r>
        <w:t xml:space="preserve">derived from the question text), evaluate five free, locally executable</w:t>
      </w:r>
      <w:r>
        <w:t xml:space="preserve"> </w:t>
      </w:r>
      <w:r>
        <w:t xml:space="preserve">generation models, and run oracle-context and closed-book ablations that</w:t>
      </w:r>
      <w:r>
        <w:t xml:space="preserve"> </w:t>
      </w:r>
      <w:r>
        <w:t xml:space="preserve">attribute end-to-end errors to retrieval or to generation.</w:t>
      </w:r>
    </w:p>
    <w:p>
      <w:pPr>
        <w:pStyle w:val="BodyText"/>
      </w:pPr>
      <w:r>
        <w:t xml:space="preserve">Three findings stand out. First, restricting the search space with metadata</w:t>
      </w:r>
      <w:r>
        <w:t xml:space="preserve"> </w:t>
      </w:r>
      <w:r>
        <w:t xml:space="preserve">parsed from the question (company and fiscal period) is the single largest</w:t>
      </w:r>
      <w:r>
        <w:t xml:space="preserve"> </w:t>
      </w:r>
      <w:r>
        <w:t xml:space="preserve">retrieval improvement we measured, worth 13 to 16 points of recall at every k,</w:t>
      </w:r>
      <w:r>
        <w:t xml:space="preserve"> </w:t>
      </w:r>
      <w:r>
        <w:t xml:space="preserve">more than any chunking or embedding change. Second, two standard-recipe</w:t>
      </w:r>
      <w:r>
        <w:t xml:space="preserve"> </w:t>
      </w:r>
      <w:r>
        <w:t xml:space="preserve">components, BM25 (alone or in hybrid fusion) and a general-purpose</w:t>
      </w:r>
      <w:r>
        <w:t xml:space="preserve"> </w:t>
      </w:r>
      <w:r>
        <w:t xml:space="preserve">cross-encoder reranker, actively hurt on this corpus of dense financial</w:t>
      </w:r>
      <w:r>
        <w:t xml:space="preserve"> </w:t>
      </w:r>
      <w:r>
        <w:t xml:space="preserve">tables. Third, the ablations show the system is at least as</w:t>
      </w:r>
      <w:r>
        <w:t xml:space="preserve"> </w:t>
      </w:r>
      <w:r>
        <w:t xml:space="preserve">generation-limited as retrieval-limited: even when handed the gold evidence,</w:t>
      </w:r>
      <w:r>
        <w:t xml:space="preserve"> </w:t>
      </w:r>
      <w:r>
        <w:t xml:space="preserve">the best local 14B model fully answers only 59 percent of the questions, and</w:t>
      </w:r>
      <w:r>
        <w:t xml:space="preserve"> </w:t>
      </w:r>
      <w:r>
        <w:t xml:space="preserve">40.7 percent of questions fail under oracle conditions, mostly on multi-step</w:t>
      </w:r>
      <w:r>
        <w:t xml:space="preserve"> </w:t>
      </w:r>
      <w:r>
        <w:t xml:space="preserve">financial arithmetic.</w:t>
      </w:r>
    </w:p>
    <w:bookmarkEnd w:id="9"/>
    <w:bookmarkStart w:id="10" w:name="corpus-description"/>
    <w:p>
      <w:pPr>
        <w:pStyle w:val="Heading1"/>
      </w:pPr>
      <w:r>
        <w:t xml:space="preserve">Corpus Description</w:t>
      </w:r>
    </w:p>
    <w:p>
      <w:pPr>
        <w:pStyle w:val="FirstParagraph"/>
      </w:pPr>
      <w:r>
        <w:t xml:space="preserve">FinanceBench (Islam et al., 2023) is an industry benchmark for question</w:t>
      </w:r>
      <w:r>
        <w:t xml:space="preserve"> </w:t>
      </w:r>
      <w:r>
        <w:t xml:space="preserve">answering over public financial filings. Its open source split contains 150</w:t>
      </w:r>
      <w:r>
        <w:t xml:space="preserve"> </w:t>
      </w:r>
      <w:r>
        <w:t xml:space="preserve">questions over 84 documents: 10-K and 10-Q filings, 8-K reports, and earnings</w:t>
      </w:r>
      <w:r>
        <w:t xml:space="preserve"> </w:t>
      </w:r>
      <w:r>
        <w:t xml:space="preserve">releases from 40 public companies, fiscal years 2015 to 2023. Every question</w:t>
      </w:r>
      <w:r>
        <w:t xml:space="preserve"> </w:t>
      </w:r>
      <w:r>
        <w:t xml:space="preserve">carries a gold answer and one to three evidence items, each annotated with the</w:t>
      </w:r>
      <w:r>
        <w:t xml:space="preserve"> </w:t>
      </w:r>
      <w:r>
        <w:t xml:space="preserve">exact supporting text and its zero-based page number. Questions come in three</w:t>
      </w:r>
      <w:r>
        <w:t xml:space="preserve"> </w:t>
      </w:r>
      <w:r>
        <w:t xml:space="preserve">types of 50 each: metrics-generated (read a value off a statement),</w:t>
      </w:r>
      <w:r>
        <w:t xml:space="preserve"> </w:t>
      </w:r>
      <w:r>
        <w:t xml:space="preserve">domain-relevant (analyst questions requiring judgement), and novel-generated</w:t>
      </w:r>
      <w:r>
        <w:t xml:space="preserve"> </w:t>
      </w:r>
      <w:r>
        <w:t xml:space="preserve">(unusual questions unlikely to be memorised), spanning information extraction,</w:t>
      </w:r>
      <w:r>
        <w:t xml:space="preserve"> </w:t>
      </w:r>
      <w:r>
        <w:t xml:space="preserve">numerical reasoning, and logical reasoning.</w:t>
      </w:r>
    </w:p>
    <w:p>
      <w:pPr>
        <w:pStyle w:val="BodyText"/>
      </w:pPr>
      <w:r>
        <w:t xml:space="preserve">The benchmark ships a document catalog with source URLs rather than the</w:t>
      </w:r>
      <w:r>
        <w:t xml:space="preserve"> </w:t>
      </w:r>
      <w:r>
        <w:t xml:space="preserve">documents themselves, and about a quarter of those URLs have rotted since</w:t>
      </w:r>
      <w:r>
        <w:t xml:space="preserve"> </w:t>
      </w:r>
      <w:r>
        <w:t xml:space="preserve">publication. Our downloader retries with SEC-compliant request headers and</w:t>
      </w:r>
      <w:r>
        <w:t xml:space="preserve"> </w:t>
      </w:r>
      <w:r>
        <w:t xml:space="preserve">falls back to the official FinanceBench GitHub mirror; 61 documents arrived</w:t>
      </w:r>
      <w:r>
        <w:t xml:space="preserve"> </w:t>
      </w:r>
      <w:r>
        <w:t xml:space="preserve">from their original URLs and 23 from the mirror, for full coverage of all 84</w:t>
      </w:r>
      <w:r>
        <w:t xml:space="preserve"> </w:t>
      </w:r>
      <w:r>
        <w:t xml:space="preserve">documents and therefore all 150 questions. A committed manifest records the</w:t>
      </w:r>
      <w:r>
        <w:t xml:space="preserve"> </w:t>
      </w:r>
      <w:r>
        <w:t xml:space="preserve">provenance, size, and SHA-256 of every file.</w:t>
      </w:r>
    </w:p>
    <w:p>
      <w:pPr>
        <w:pStyle w:val="BodyText"/>
      </w:pPr>
      <w:r>
        <w:t xml:space="preserve">Text is extracted per page with PyMuPDF: 12,013 pages and 40.0M characters</w:t>
      </w:r>
      <w:r>
        <w:t xml:space="preserve"> </w:t>
      </w:r>
      <w:r>
        <w:t xml:space="preserve">across the 84 documents. Cleaning is deliberately conservative (unicode NFKC</w:t>
      </w:r>
      <w:r>
        <w:t xml:space="preserve"> </w:t>
      </w:r>
      <w:r>
        <w:t xml:space="preserve">normalisation, control-character removal, whitespace bounding) because</w:t>
      </w:r>
      <w:r>
        <w:t xml:space="preserve"> </w:t>
      </w:r>
      <w:r>
        <w:t xml:space="preserve">aggressive normalisation destroys the row and column adjacency that financial</w:t>
      </w:r>
      <w:r>
        <w:t xml:space="preserve"> </w:t>
      </w:r>
      <w:r>
        <w:t xml:space="preserve">tables depend on. Only 78 pages (0.65 percent) yielded fewer than 20</w:t>
      </w:r>
      <w:r>
        <w:t xml:space="preserve"> </w:t>
      </w:r>
      <w:r>
        <w:t xml:space="preserve">characters, indicating scanned or graphical pages; no document required OCR.</w:t>
      </w:r>
      <w:r>
        <w:t xml:space="preserve"> </w:t>
      </w:r>
      <w:r>
        <w:t xml:space="preserve">Pages are the atomic unit of ground truth throughout: retrieval is scored</w:t>
      </w:r>
      <w:r>
        <w:t xml:space="preserve"> </w:t>
      </w:r>
      <w:r>
        <w:t xml:space="preserve">against the annotated evidence pages, and a text-level containment measure</w:t>
      </w:r>
      <w:r>
        <w:t xml:space="preserve"> </w:t>
      </w:r>
      <w:r>
        <w:t xml:space="preserve">catches evidence lost inside a retrieved page.</w:t>
      </w:r>
    </w:p>
    <w:bookmarkEnd w:id="10"/>
    <w:bookmarkStart w:id="15" w:name="methodology"/>
    <w:p>
      <w:pPr>
        <w:pStyle w:val="Heading1"/>
      </w:pPr>
      <w:r>
        <w:t xml:space="preserve">Methodology</w:t>
      </w:r>
    </w:p>
    <w:bookmarkStart w:id="11" w:name="segmentation"/>
    <w:p>
      <w:pPr>
        <w:pStyle w:val="Heading2"/>
      </w:pPr>
      <w:r>
        <w:t xml:space="preserve">Segmentation</w:t>
      </w:r>
    </w:p>
    <w:p>
      <w:pPr>
        <w:pStyle w:val="FirstParagraph"/>
      </w:pPr>
      <w:r>
        <w:t xml:space="preserve">Three chunkers cover the structure-preservation axis. The token chunker slides</w:t>
      </w:r>
      <w:r>
        <w:t xml:space="preserve"> </w:t>
      </w:r>
      <w:r>
        <w:t xml:space="preserve">fixed windows over the whole document, ignoring layout. The page chunker</w:t>
      </w:r>
      <w:r>
        <w:t xml:space="preserve"> </w:t>
      </w:r>
      <w:r>
        <w:t xml:space="preserve">treats the PDF page as the atomic unit and splits only oversized pages. The</w:t>
      </w:r>
      <w:r>
        <w:t xml:space="preserve"> </w:t>
      </w:r>
      <w:r>
        <w:t xml:space="preserve">structural chunker packs whole paragraphs greedily up to the token budget,</w:t>
      </w:r>
      <w:r>
        <w:t xml:space="preserve"> </w:t>
      </w:r>
      <w:r>
        <w:t xml:space="preserve">never cutting through one. All chunk boundaries are measured with one fixed</w:t>
      </w:r>
      <w:r>
        <w:t xml:space="preserve"> </w:t>
      </w:r>
      <w:r>
        <w:t xml:space="preserve">reference tokenizer (bert-base-uncased) regardless of the embedding model, so</w:t>
      </w:r>
      <w:r>
        <w:t xml:space="preserve"> </w:t>
      </w:r>
      <w:r>
        <w:t xml:space="preserve">that when we compare embedding models they see literally identical chunks.</w:t>
      </w:r>
      <w:r>
        <w:t xml:space="preserve"> </w:t>
      </w:r>
      <w:r>
        <w:t xml:space="preserve">Every chunk carries its document name and the page span it covers.</w:t>
      </w:r>
    </w:p>
    <w:bookmarkEnd w:id="11"/>
    <w:bookmarkStart w:id="12" w:name="retrieval"/>
    <w:p>
      <w:pPr>
        <w:pStyle w:val="Heading2"/>
      </w:pPr>
      <w:r>
        <w:t xml:space="preserve">Retrieval</w:t>
      </w:r>
    </w:p>
    <w:p>
      <w:pPr>
        <w:pStyle w:val="FirstParagraph"/>
      </w:pPr>
      <w:r>
        <w:t xml:space="preserve">Chunks are embedded with sentence-transformer models, using the query and</w:t>
      </w:r>
      <w:r>
        <w:t xml:space="preserve"> </w:t>
      </w:r>
      <w:r>
        <w:t xml:space="preserve">passage prefixes each model’s authors document (E5 and BGE are asymmetric;</w:t>
      </w:r>
      <w:r>
        <w:t xml:space="preserve"> </w:t>
      </w:r>
      <w:r>
        <w:t xml:space="preserve">omitting their prefixes measurably degrades recall and would contaminate the</w:t>
      </w:r>
      <w:r>
        <w:t xml:space="preserve"> </w:t>
      </w:r>
      <w:r>
        <w:t xml:space="preserve">comparison). Normalised embeddings are indexed in FAISS and searched by inner</w:t>
      </w:r>
      <w:r>
        <w:t xml:space="preserve"> </w:t>
      </w:r>
      <w:r>
        <w:t xml:space="preserve">product. Three alternative strategies are implemented behind the same</w:t>
      </w:r>
      <w:r>
        <w:t xml:space="preserve"> </w:t>
      </w:r>
      <w:r>
        <w:t xml:space="preserve">interface: Okapi BM25; a hybrid that min-max normalises dense and BM25 scores</w:t>
      </w:r>
      <w:r>
        <w:t xml:space="preserve"> </w:t>
      </w:r>
      <w:r>
        <w:t xml:space="preserve">and combines them with weight alpha; and cross-encoder reranking</w:t>
      </w:r>
      <w:r>
        <w:t xml:space="preserve"> </w:t>
      </w:r>
      <w:r>
        <w:t xml:space="preserve">(ms-marco-MiniLM-L-6-v2) applied to a dense candidate pool of configurable</w:t>
      </w:r>
      <w:r>
        <w:t xml:space="preserve"> </w:t>
      </w:r>
      <w:r>
        <w:t xml:space="preserve">size.</w:t>
      </w:r>
    </w:p>
    <w:p>
      <w:pPr>
        <w:pStyle w:val="BodyText"/>
      </w:pPr>
      <w:r>
        <w:t xml:space="preserve">The metadata filter restricts candidates to documents whose company is named</w:t>
      </w:r>
      <w:r>
        <w:t xml:space="preserve"> </w:t>
      </w:r>
      <w:r>
        <w:t xml:space="preserve">in the question, narrowed further by fiscal year when one is mentioned. It is</w:t>
      </w:r>
      <w:r>
        <w:t xml:space="preserve"> </w:t>
      </w:r>
      <w:r>
        <w:t xml:space="preserve">built by matching the catalog’s 40 company names (plus a small alias list)</w:t>
      </w:r>
      <w:r>
        <w:t xml:space="preserve"> </w:t>
      </w:r>
      <w:r>
        <w:t xml:space="preserve">against the question string after both are lowercased and stripped of</w:t>
      </w:r>
      <w:r>
        <w:t xml:space="preserve"> </w:t>
      </w:r>
      <w:r>
        <w:t xml:space="preserve">punctuation; 127 of the 150 questions name their company verbatim and the</w:t>
      </w:r>
      <w:r>
        <w:t xml:space="preserve"> </w:t>
      </w:r>
      <w:r>
        <w:t xml:space="preserve">filter deactivates itself on the rest. It reads nothing from the gold record</w:t>
      </w:r>
      <w:r>
        <w:t xml:space="preserve"> </w:t>
      </w:r>
      <w:r>
        <w:t xml:space="preserve">except the question text, so it uses only information a deployed system would</w:t>
      </w:r>
      <w:r>
        <w:t xml:space="preserve"> </w:t>
      </w:r>
      <w:r>
        <w:t xml:space="preserve">have.</w:t>
      </w:r>
    </w:p>
    <w:bookmarkEnd w:id="12"/>
    <w:bookmarkStart w:id="13" w:name="generation"/>
    <w:p>
      <w:pPr>
        <w:pStyle w:val="Heading2"/>
      </w:pPr>
      <w:r>
        <w:t xml:space="preserve">Generation</w:t>
      </w:r>
    </w:p>
    <w:p>
      <w:pPr>
        <w:pStyle w:val="FirstParagraph"/>
      </w:pPr>
      <w:r>
        <w:t xml:space="preserve">Answers are produced by free, locally executable instruction models served by</w:t>
      </w:r>
      <w:r>
        <w:t xml:space="preserve"> </w:t>
      </w:r>
      <w:r>
        <w:t xml:space="preserve">Ollama, prompted to answer strictly from the numbered passages, to cite every</w:t>
      </w:r>
      <w:r>
        <w:t xml:space="preserve"> </w:t>
      </w:r>
      <w:r>
        <w:t xml:space="preserve">fact as [n], to state numeric answers with units, and to abstain with a fixed</w:t>
      </w:r>
      <w:r>
        <w:t xml:space="preserve"> </w:t>
      </w:r>
      <w:r>
        <w:t xml:space="preserve">phrase when the passages are insufficient. The context window (16,384 tokens)</w:t>
      </w:r>
      <w:r>
        <w:t xml:space="preserve"> </w:t>
      </w:r>
      <w:r>
        <w:t xml:space="preserve">sits well above the largest measured prompt, and every response’s token</w:t>
      </w:r>
      <w:r>
        <w:t xml:space="preserve"> </w:t>
      </w:r>
      <w:r>
        <w:t xml:space="preserve">accounting is checked against the window so silent truncation cannot pass</w:t>
      </w:r>
      <w:r>
        <w:t xml:space="preserve"> </w:t>
      </w:r>
      <w:r>
        <w:t xml:space="preserve">unnoticed; zero truncations were flagged across all runs. Three context modes</w:t>
      </w:r>
      <w:r>
        <w:t xml:space="preserve"> </w:t>
      </w:r>
      <w:r>
        <w:t xml:space="preserve">support the ablations: retrieved (the RAG system proper), oracle (the gold</w:t>
      </w:r>
      <w:r>
        <w:t xml:space="preserve"> </w:t>
      </w:r>
      <w:r>
        <w:t xml:space="preserve">evidence passed directly, removing retrieval from the equation), and none</w:t>
      </w:r>
      <w:r>
        <w:t xml:space="preserve"> </w:t>
      </w:r>
      <w:r>
        <w:t xml:space="preserve">(closed book, bounding how much of the score could be pre-training</w:t>
      </w:r>
      <w:r>
        <w:t xml:space="preserve"> </w:t>
      </w:r>
      <w:r>
        <w:t xml:space="preserve">memorisation).</w:t>
      </w:r>
    </w:p>
    <w:bookmarkEnd w:id="13"/>
    <w:bookmarkStart w:id="14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Retrieval is scored at page level against the annotated evidence:</w:t>
      </w:r>
    </w:p>
    <w:p>
      <w:pPr>
        <w:pStyle w:val="Compact"/>
        <w:numPr>
          <w:ilvl w:val="0"/>
          <w:numId w:val="1001"/>
        </w:numPr>
      </w:pPr>
      <w:r>
        <w:t xml:space="preserve">recall@k: some retrieved chunk covers a gold evidence page;</w:t>
      </w:r>
    </w:p>
    <w:p>
      <w:pPr>
        <w:pStyle w:val="Compact"/>
        <w:numPr>
          <w:ilvl w:val="0"/>
          <w:numId w:val="1001"/>
        </w:numPr>
      </w:pPr>
      <w:r>
        <w:t xml:space="preserve">strict recall@k: a single chunk contains at least half of an evidence</w:t>
      </w:r>
      <w:r>
        <w:t xml:space="preserve"> </w:t>
      </w:r>
      <w:r>
        <w:t xml:space="preserve">item’s 5-grams, i.e. the evidence text itself was retrieved, not merely its</w:t>
      </w:r>
      <w:r>
        <w:t xml:space="preserve"> </w:t>
      </w:r>
      <w:r>
        <w:t xml:space="preserve">page;</w:t>
      </w:r>
    </w:p>
    <w:p>
      <w:pPr>
        <w:pStyle w:val="Compact"/>
        <w:numPr>
          <w:ilvl w:val="0"/>
          <w:numId w:val="1001"/>
        </w:numPr>
      </w:pPr>
      <w:r>
        <w:t xml:space="preserve">document accuracy@k, MRR@k, and nDCG@k with page-level relevance;</w:t>
      </w:r>
    </w:p>
    <w:p>
      <w:pPr>
        <w:pStyle w:val="Compact"/>
        <w:numPr>
          <w:ilvl w:val="0"/>
          <w:numId w:val="1001"/>
        </w:numPr>
      </w:pPr>
      <w:r>
        <w:t xml:space="preserve">evidence coverage@k: the mean fraction of evidence 5-grams present anywhere</w:t>
      </w:r>
      <w:r>
        <w:t xml:space="preserve"> </w:t>
      </w:r>
      <w:r>
        <w:t xml:space="preserve">in the retrieved set, the measure that exposes chunk-boundary evidence loss.</w:t>
      </w:r>
    </w:p>
    <w:p>
      <w:pPr>
        <w:pStyle w:val="FirstParagraph"/>
      </w:pPr>
      <w:r>
        <w:t xml:space="preserve">Generation is scored deterministically with scale-tolerant numeric accuracy</w:t>
      </w:r>
      <w:r>
        <w:t xml:space="preserve"> </w:t>
      </w:r>
      <w:r>
        <w:t xml:space="preserve">(FinanceBench answers are mostly dollar amounts, percentages, and ratios; the</w:t>
      </w:r>
      <w:r>
        <w:t xml:space="preserve"> </w:t>
      </w:r>
      <w:r>
        <w:t xml:space="preserve">scale-tolerant variant forgives unit mismatches such as millions versus raw</w:t>
      </w:r>
      <w:r>
        <w:t xml:space="preserve"> </w:t>
      </w:r>
      <w:r>
        <w:t xml:space="preserve">dollars but not wrong digits), SQuAD-style token F1, citation rate and</w:t>
      </w:r>
      <w:r>
        <w:t xml:space="preserve"> </w:t>
      </w:r>
      <w:r>
        <w:t xml:space="preserve">citation validity (whether a cited passage actually covers a gold page), and</w:t>
      </w:r>
      <w:r>
        <w:t xml:space="preserve"> </w:t>
      </w:r>
      <w:r>
        <w:t xml:space="preserve">abstention rate. An LLM judge (qwen2.5-14B, temperature 0, JSON-constrained</w:t>
      </w:r>
      <w:r>
        <w:t xml:space="preserve"> </w:t>
      </w:r>
      <w:r>
        <w:t xml:space="preserve">output) grades correctness (0 to 2) against the reference answer and</w:t>
      </w:r>
      <w:r>
        <w:t xml:space="preserve"> </w:t>
      </w:r>
      <w:r>
        <w:t xml:space="preserve">groundedness (0 to 2) against the passages shown to the model. Throughout the</w:t>
      </w:r>
      <w:r>
        <w:t xml:space="preserve"> </w:t>
      </w:r>
      <w:r>
        <w:t xml:space="preserve">results, accuracy means the fraction of answers the judge scores fully</w:t>
      </w:r>
      <w:r>
        <w:t xml:space="preserve"> </w:t>
      </w:r>
      <w:r>
        <w:t xml:space="preserve">correct.</w:t>
      </w:r>
    </w:p>
    <w:p>
      <w:pPr>
        <w:pStyle w:val="BodyText"/>
      </w:pPr>
      <w:r>
        <w:t xml:space="preserve">Because an LLM judge is an assertion until measured, we quantify its</w:t>
      </w:r>
      <w:r>
        <w:t xml:space="preserve"> </w:t>
      </w:r>
      <w:r>
        <w:t xml:space="preserve">consistency against the deterministic numeric metric: over the 1,008</w:t>
      </w:r>
      <w:r>
        <w:t xml:space="preserve"> </w:t>
      </w:r>
      <w:r>
        <w:t xml:space="preserve">judged answers to numeric questions, the judge’s fully-correct verdict and</w:t>
      </w:r>
      <w:r>
        <w:t xml:space="preserve"> </w:t>
      </w:r>
      <w:r>
        <w:t xml:space="preserve">the scale-tolerant numeric match agree on 81.6 percent of cases with Cohen’s</w:t>
      </w:r>
      <w:r>
        <w:t xml:space="preserve"> </w:t>
      </w:r>
      <w:r>
        <w:t xml:space="preserve">kappa 0.607, substantial agreement given that the two measures also disagree</w:t>
      </w:r>
      <w:r>
        <w:t xml:space="preserve"> </w:t>
      </w:r>
      <w:r>
        <w:t xml:space="preserve">legitimately (an answer can state the right number for the wrong reason, or</w:t>
      </w:r>
      <w:r>
        <w:t xml:space="preserve"> </w:t>
      </w:r>
      <w:r>
        <w:t xml:space="preserve">a correct non-numeric qualification). No human labelling was performed; we</w:t>
      </w:r>
      <w:r>
        <w:t xml:space="preserve"> </w:t>
      </w:r>
      <w:r>
        <w:t xml:space="preserve">flag this in the limitations.</w:t>
      </w:r>
    </w:p>
    <w:bookmarkEnd w:id="14"/>
    <w:bookmarkEnd w:id="15"/>
    <w:bookmarkStart w:id="16" w:name="experimental-setup"/>
    <w:p>
      <w:pPr>
        <w:pStyle w:val="Heading1"/>
      </w:pPr>
      <w:r>
        <w:t xml:space="preserve">Experimental Setup</w:t>
      </w:r>
    </w:p>
    <w:p>
      <w:pPr>
        <w:pStyle w:val="FirstParagraph"/>
      </w:pPr>
      <w:r>
        <w:t xml:space="preserve">All heavy computation ran on one RunPod A100-SXM4-80GB pod (CUDA 12, PyTorch</w:t>
      </w:r>
      <w:r>
        <w:t xml:space="preserve"> </w:t>
      </w:r>
      <w:r>
        <w:t xml:space="preserve">2.9, Python 3.12); development and the 64-test unit suite ran on a laptop.</w:t>
      </w:r>
      <w:r>
        <w:t xml:space="preserve"> </w:t>
      </w:r>
      <w:r>
        <w:t xml:space="preserve">The retrieval grid comprises 41 configurations: a 4x4 chunk size (128, 256,</w:t>
      </w:r>
      <w:r>
        <w:t xml:space="preserve"> </w:t>
      </w:r>
      <w:r>
        <w:t xml:space="preserve">512, 1024 tokens) by overlap (0, 10, 25, 50 percent) sweep, three structure</w:t>
      </w:r>
      <w:r>
        <w:t xml:space="preserve"> </w:t>
      </w:r>
      <w:r>
        <w:t xml:space="preserve">modes, six embedding models (all-MiniLM-L6-v2, gte-base, e5-base-v2,</w:t>
      </w:r>
      <w:r>
        <w:t xml:space="preserve"> </w:t>
      </w:r>
      <w:r>
        <w:t xml:space="preserve">bge-base-en-v1.5, e5-large-v2, bge-large-en-v1.5), k in {1, 3, 5, 10, 20},</w:t>
      </w:r>
      <w:r>
        <w:t xml:space="preserve"> </w:t>
      </w:r>
      <w:r>
        <w:t xml:space="preserve">BM25 at two k values, hybrid at alpha in {0.3, 0.5, 0.7}, reranking with</w:t>
      </w:r>
      <w:r>
        <w:t xml:space="preserve"> </w:t>
      </w:r>
      <w:r>
        <w:t xml:space="preserve">pools of 20, 50, and 100, and the metadata filter at three k values plus one</w:t>
      </w:r>
      <w:r>
        <w:t xml:space="preserve"> </w:t>
      </w:r>
      <w:r>
        <w:t xml:space="preserve">filter-plus-rerank combination. Sweeps are one-factor-at-a-time around a</w:t>
      </w:r>
      <w:r>
        <w:t xml:space="preserve"> </w:t>
      </w:r>
      <w:r>
        <w:t xml:space="preserve">fixed baseline (token chunks of 512 with 64 overlap, bge-base, dense, k=5) so</w:t>
      </w:r>
      <w:r>
        <w:t xml:space="preserve"> </w:t>
      </w:r>
      <w:r>
        <w:t xml:space="preserve">each comparison isolates one decision. The grid completed in about 100</w:t>
      </w:r>
      <w:r>
        <w:t xml:space="preserve"> </w:t>
      </w:r>
      <w:r>
        <w:t xml:space="preserve">minutes on the A100; every run is cached under a hash of its configuration</w:t>
      </w:r>
      <w:r>
        <w:t xml:space="preserve"> </w:t>
      </w:r>
      <w:r>
        <w:t xml:space="preserve">and is resumable.</w:t>
      </w:r>
    </w:p>
    <w:p>
      <w:pPr>
        <w:pStyle w:val="BodyText"/>
      </w:pPr>
      <w:r>
        <w:t xml:space="preserve">Generation consumed the top passages of the best eligible retrieval run (the</w:t>
      </w:r>
      <w:r>
        <w:t xml:space="preserve"> </w:t>
      </w:r>
      <w:r>
        <w:t xml:space="preserve">metadata-filtered dense run; its top 10 passages reach 0.627 recall, its top</w:t>
      </w:r>
      <w:r>
        <w:t xml:space="preserve"> </w:t>
      </w:r>
      <w:r>
        <w:t xml:space="preserve">20 reach 0.707) across five models spanning the four families named in the</w:t>
      </w:r>
      <w:r>
        <w:t xml:space="preserve"> </w:t>
      </w:r>
      <w:r>
        <w:t xml:space="preserve">brief and two sizes of one family: llama3.1-8B, mistral-7B, qwen2.5-7B,</w:t>
      </w:r>
      <w:r>
        <w:t xml:space="preserve"> </w:t>
      </w:r>
      <w:r>
        <w:t xml:space="preserve">phi4-14B, and qwen2.5-14B, all Q4 quantised. Ablations add oracle and</w:t>
      </w:r>
      <w:r>
        <w:t xml:space="preserve"> </w:t>
      </w:r>
      <w:r>
        <w:t xml:space="preserve">closed-book runs for both qwen sizes and a k=20 variant for qwen2.5-14B.</w:t>
      </w:r>
      <w:r>
        <w:t xml:space="preserve"> </w:t>
      </w:r>
      <w:r>
        <w:t xml:space="preserve">Generation is deterministic (temperature 0), checkpoints every ten questions,</w:t>
      </w:r>
      <w:r>
        <w:t xml:space="preserve"> </w:t>
      </w:r>
      <w:r>
        <w:t xml:space="preserve">and the ten generation and judging runs together used roughly three hours of</w:t>
      </w:r>
      <w:r>
        <w:t xml:space="preserve"> </w:t>
      </w:r>
      <w:r>
        <w:t xml:space="preserve">A100 time, run three streams in parallel against one Ollama server.</w:t>
      </w:r>
    </w:p>
    <w:bookmarkEnd w:id="16"/>
    <w:bookmarkStart w:id="37" w:name="results"/>
    <w:p>
      <w:pPr>
        <w:pStyle w:val="Heading1"/>
      </w:pPr>
      <w:r>
        <w:t xml:space="preserve">Results</w:t>
      </w:r>
    </w:p>
    <w:bookmarkStart w:id="29" w:name="retrieval-1"/>
    <w:p>
      <w:pPr>
        <w:pStyle w:val="Heading2"/>
      </w:pPr>
      <w:r>
        <w:t xml:space="preserve">Retrieval</w:t>
      </w:r>
    </w:p>
    <w:p>
      <w:pPr>
        <w:pStyle w:val="TableCaption"/>
      </w:pPr>
      <w:r>
        <w:t xml:space="preserve">headline retrieval results (the full 41-row table is in</w:t>
      </w:r>
      <w:r>
        <w:t xml:space="preserve"> </w:t>
      </w:r>
      <w:r>
        <w:t xml:space="preserve">results/tables/retrieval_results.md).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eadline retrieval results (the full 41-row table is in results/tables/retrieval_results.md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Recall@k</w:t>
            </w:r>
          </w:p>
        </w:tc>
        <w:tc>
          <w:tcPr/>
          <w:p>
            <w:pPr>
              <w:pStyle w:val="Compact"/>
            </w:pPr>
            <w:r>
              <w:t xml:space="preserve">Strict@k</w:t>
            </w:r>
          </w:p>
        </w:tc>
        <w:tc>
          <w:tcPr/>
          <w:p>
            <w:pPr>
              <w:pStyle w:val="Compact"/>
            </w:pPr>
            <w:r>
              <w:t xml:space="preserve">MRR@k</w:t>
            </w:r>
          </w:p>
        </w:tc>
        <w:tc>
          <w:tcPr/>
          <w:p>
            <w:pPr>
              <w:pStyle w:val="Compact"/>
            </w:pPr>
            <w:r>
              <w:t xml:space="preserve">ms/query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+ filter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0.507</w:t>
            </w:r>
          </w:p>
        </w:tc>
        <w:tc>
          <w:tcPr/>
          <w:p>
            <w:pPr>
              <w:pStyle w:val="Compact"/>
            </w:pPr>
            <w:r>
              <w:t xml:space="preserve">0.307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+ filter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0.301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dense, plain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dense, plain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0.198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+ filter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0.493</w:t>
            </w:r>
          </w:p>
        </w:tc>
        <w:tc>
          <w:tcPr/>
          <w:p>
            <w:pPr>
              <w:pStyle w:val="Compact"/>
            </w:pPr>
            <w:r>
              <w:t xml:space="preserve">0.300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e5-large-v2 (best embedding)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rerank, pool 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0.447</w:t>
            </w:r>
          </w:p>
        </w:tc>
        <w:tc>
          <w:tcPr/>
          <w:p>
            <w:pPr>
              <w:pStyle w:val="Compact"/>
            </w:pPr>
            <w:r>
              <w:t xml:space="preserve">0.340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(bge-base)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hybrid, best alpha 0.7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0.320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0.127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Metadata filtering dominates every other intervention.</w:t>
      </w:r>
      <w:r>
        <w:t xml:space="preserve"> </w:t>
      </w:r>
      <w:r>
        <w:t xml:space="preserve">At each k the</w:t>
      </w:r>
      <w:r>
        <w:t xml:space="preserve"> </w:t>
      </w:r>
      <w:r>
        <w:t xml:space="preserve">filter adds 13 to 16 recall points over plain dense search and raises MRR by</w:t>
      </w:r>
      <w:r>
        <w:t xml:space="preserve"> </w:t>
      </w:r>
      <w:r>
        <w:t xml:space="preserve">half. The mechanism is visible in the error taxonomy: wrong-document</w:t>
      </w:r>
      <w:r>
        <w:t xml:space="preserve"> </w:t>
      </w:r>
      <w:r>
        <w:t xml:space="preserve">retrievals drop to 2 percent of questions. Filtering costs a few milliseconds</w:t>
      </w:r>
      <w:r>
        <w:t xml:space="preserve"> </w:t>
      </w:r>
      <w:r>
        <w:t xml:space="preserve">and no training; on a corpus whose documents are near-duplicates of each</w:t>
      </w:r>
      <w:r>
        <w:t xml:space="preserve"> </w:t>
      </w:r>
      <w:r>
        <w:t xml:space="preserve">other in vocabulary (every 10-K contains an income statement), identity</w:t>
      </w:r>
      <w:r>
        <w:t xml:space="preserve"> </w:t>
      </w:r>
      <w:r>
        <w:t xml:space="preserve">metadata carries information that embeddings recover only partially.</w:t>
      </w:r>
    </w:p>
    <w:p>
      <w:pPr>
        <w:pStyle w:val="CaptionedFigure"/>
      </w:pPr>
      <w:r>
        <w:drawing>
          <wp:inline>
            <wp:extent cx="4411175" cy="3312976"/>
            <wp:effectExtent b="0" l="0" r="0" t="0"/>
            <wp:docPr descr="Recall@5 by chunk size and overlap." title="" id="18" name="Picture"/>
            <a:graphic>
              <a:graphicData uri="http://schemas.openxmlformats.org/drawingml/2006/picture">
                <pic:pic>
                  <pic:nvPicPr>
                    <pic:cNvPr descr="fig_chunk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75" cy="331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Recall@5 by chunk size and overlap.</w:t>
      </w:r>
    </w:p>
    <w:p>
      <w:pPr>
        <w:pStyle w:val="BodyText"/>
      </w:pPr>
      <w:r>
        <w:rPr>
          <w:b/>
          <w:bCs/>
        </w:rPr>
        <w:t xml:space="preserve">Chunking.</w:t>
      </w:r>
      <w:r>
        <w:t xml:space="preserve"> </w:t>
      </w:r>
      <w:r>
        <w:t xml:space="preserve">The 16-point chunk sweep spans 0.293 to 0.373 recall at k=5, a</w:t>
      </w:r>
      <w:r>
        <w:t xml:space="preserve"> </w:t>
      </w:r>
      <w:r>
        <w:t xml:space="preserve">smaller range than the filter’s effect at any k. A 10 percent overlap is best</w:t>
      </w:r>
      <w:r>
        <w:t xml:space="preserve"> </w:t>
      </w:r>
      <w:r>
        <w:t xml:space="preserve">at every size; 256 and 512-token chunks lead on recall. Evidence coverage</w:t>
      </w:r>
      <w:r>
        <w:t xml:space="preserve"> </w:t>
      </w:r>
      <w:r>
        <w:t xml:space="preserve">tells the other half of the story: it doubles from 128-token chunks (0.11 to</w:t>
      </w:r>
      <w:r>
        <w:t xml:space="preserve"> </w:t>
      </w:r>
      <w:r>
        <w:t xml:space="preserve">0.15) to 1024-token chunks (0.26), because small windows retrieve the right</w:t>
      </w:r>
      <w:r>
        <w:t xml:space="preserve"> </w:t>
      </w:r>
      <w:r>
        <w:t xml:space="preserve">page but hand the generator a fragment of the evidence. This tension (small</w:t>
      </w:r>
      <w:r>
        <w:t xml:space="preserve"> </w:t>
      </w:r>
      <w:r>
        <w:t xml:space="preserve">chunks rank better, large chunks carry more of the evidence once found)</w:t>
      </w:r>
      <w:r>
        <w:t xml:space="preserve"> </w:t>
      </w:r>
      <w:r>
        <w:t xml:space="preserve">motivates the 512/64 compromise used downstream.</w:t>
      </w:r>
    </w:p>
    <w:p>
      <w:pPr>
        <w:pStyle w:val="BodyText"/>
      </w:pPr>
      <w:r>
        <w:rPr>
          <w:b/>
          <w:bCs/>
        </w:rPr>
        <w:t xml:space="preserve">Structure preservation.</w:t>
      </w:r>
      <w:r>
        <w:t xml:space="preserve"> </w:t>
      </w:r>
      <w:r>
        <w:t xml:space="preserve">Page-bounded chunks beat token windows (0.367</w:t>
      </w:r>
      <w:r>
        <w:t xml:space="preserve"> </w:t>
      </w:r>
      <w:r>
        <w:t xml:space="preserve">versus 0.333) with structural packing between (0.347). The gold labels are</w:t>
      </w:r>
      <w:r>
        <w:t xml:space="preserve"> </w:t>
      </w:r>
      <w:r>
        <w:t xml:space="preserve">page-level, and financial statements are laid out one per page, so respecting</w:t>
      </w:r>
      <w:r>
        <w:t xml:space="preserve"> </w:t>
      </w:r>
      <w:r>
        <w:t xml:space="preserve">the page boundary aligns chunks with both the annotation unit and the</w:t>
      </w:r>
      <w:r>
        <w:t xml:space="preserve"> </w:t>
      </w:r>
      <w:r>
        <w:t xml:space="preserve">document’s own semantics.</w:t>
      </w:r>
    </w:p>
    <w:p>
      <w:pPr>
        <w:pStyle w:val="CaptionedFigure"/>
      </w:pPr>
      <w:r>
        <w:drawing>
          <wp:inline>
            <wp:extent cx="5334000" cy="3046738"/>
            <wp:effectExtent b="0" l="0" r="0" t="0"/>
            <wp:docPr descr="Embedding models compared on identical chunks." title="" id="21" name="Picture"/>
            <a:graphic>
              <a:graphicData uri="http://schemas.openxmlformats.org/drawingml/2006/picture">
                <pic:pic>
                  <pic:nvPicPr>
                    <pic:cNvPr descr="fig_embedding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Embedding models compared on identical chunks.</w:t>
      </w:r>
    </w:p>
    <w:p>
      <w:pPr>
        <w:pStyle w:val="BodyText"/>
      </w:pPr>
      <w:r>
        <w:rPr>
          <w:b/>
          <w:bCs/>
        </w:rPr>
        <w:t xml:space="preserve">Embedding models.</w:t>
      </w:r>
      <w:r>
        <w:t xml:space="preserve"> </w:t>
      </w:r>
      <w:r>
        <w:t xml:space="preserve">e5-large-v2 is the strongest (0.453 recall and 0.316</w:t>
      </w:r>
      <w:r>
        <w:t xml:space="preserve"> </w:t>
      </w:r>
      <w:r>
        <w:t xml:space="preserve">MRR, the best MRR of any configuration including filtered ones), followed by</w:t>
      </w:r>
      <w:r>
        <w:t xml:space="preserve"> </w:t>
      </w:r>
      <w:r>
        <w:t xml:space="preserve">bge-large (0.413), e5-base (0.387), bge-base (0.333), gte-base (0.313), and</w:t>
      </w:r>
      <w:r>
        <w:t xml:space="preserve"> </w:t>
      </w:r>
      <w:r>
        <w:t xml:space="preserve">MiniLM (0.253). The E5 family wins at equal parameter count and scale helps</w:t>
      </w:r>
      <w:r>
        <w:t xml:space="preserve"> </w:t>
      </w:r>
      <w:r>
        <w:t xml:space="preserve">within each family; yet swapping bge-base for e5-large is still worth less</w:t>
      </w:r>
      <w:r>
        <w:t xml:space="preserve"> </w:t>
      </w:r>
      <w:r>
        <w:t xml:space="preserve">than adding the metadata filter on top of bge-base.</w:t>
      </w:r>
    </w:p>
    <w:p>
      <w:pPr>
        <w:pStyle w:val="CaptionedFigure"/>
      </w:pPr>
      <w:r>
        <w:drawing>
          <wp:inline>
            <wp:extent cx="4677684" cy="3170532"/>
            <wp:effectExtent b="0" l="0" r="0" t="0"/>
            <wp:docPr descr="Effect of k on the four retrieval metrics." title="" id="24" name="Picture"/>
            <a:graphic>
              <a:graphicData uri="http://schemas.openxmlformats.org/drawingml/2006/picture">
                <pic:pic>
                  <pic:nvPicPr>
                    <pic:cNvPr descr="fig_k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684" cy="317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 of k on the four retrieval metrics.</w:t>
      </w:r>
    </w:p>
    <w:p>
      <w:pPr>
        <w:pStyle w:val="BodyText"/>
      </w:pPr>
      <w:r>
        <w:rPr>
          <w:b/>
          <w:bCs/>
        </w:rPr>
        <w:t xml:space="preserve">k.</w:t>
      </w:r>
      <w:r>
        <w:t xml:space="preserve"> </w:t>
      </w:r>
      <w:r>
        <w:t xml:space="preserve">Recall grows monotonically from 0.093 at k=1 to 0.587 at k=20 with no</w:t>
      </w:r>
      <w:r>
        <w:t xml:space="preserve"> </w:t>
      </w:r>
      <w:r>
        <w:t xml:space="preserve">plateau, so the retriever keeps finding gold pages deeper in the ranking; the</w:t>
      </w:r>
      <w:r>
        <w:t xml:space="preserve"> </w:t>
      </w:r>
      <w:r>
        <w:t xml:space="preserve">cost is prompt length and distraction for the generator, quantified by the</w:t>
      </w:r>
      <w:r>
        <w:t xml:space="preserve"> </w:t>
      </w:r>
      <w:r>
        <w:t xml:space="preserve">k=20 generation ablation below.</w:t>
      </w:r>
    </w:p>
    <w:p>
      <w:pPr>
        <w:pStyle w:val="CaptionedFigure"/>
      </w:pPr>
      <w:r>
        <w:drawing>
          <wp:inline>
            <wp:extent cx="5334000" cy="3274381"/>
            <wp:effectExtent b="0" l="0" r="0" t="0"/>
            <wp:docPr descr="Retrieval strategies at matched k=10." title="" id="27" name="Picture"/>
            <a:graphic>
              <a:graphicData uri="http://schemas.openxmlformats.org/drawingml/2006/picture">
                <pic:pic>
                  <pic:nvPicPr>
                    <pic:cNvPr descr="fig_strateg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Retrieval strategies at matched k=10.</w:t>
      </w:r>
    </w:p>
    <w:p>
      <w:pPr>
        <w:pStyle w:val="BodyText"/>
      </w:pPr>
      <w:r>
        <w:rPr>
          <w:b/>
          <w:bCs/>
        </w:rPr>
        <w:t xml:space="preserve">Negative results: BM25, hybrid, and reranking.</w:t>
      </w:r>
      <w:r>
        <w:t xml:space="preserve"> </w:t>
      </w:r>
      <w:r>
        <w:t xml:space="preserve">BM25 reaches only 0.153</w:t>
      </w:r>
      <w:r>
        <w:t xml:space="preserve"> </w:t>
      </w:r>
      <w:r>
        <w:t xml:space="preserve">at k=10, one third of dense retrieval, and it drags every hybrid mixture</w:t>
      </w:r>
      <w:r>
        <w:t xml:space="preserve"> </w:t>
      </w:r>
      <w:r>
        <w:t xml:space="preserve">below pure dense (best hybrid 0.320 at alpha 0.7). Filings are boilerplate:</w:t>
      </w:r>
      <w:r>
        <w:t xml:space="preserve"> </w:t>
      </w:r>
      <w:r>
        <w:t xml:space="preserve">the terms in a question (</w:t>
      </w:r>
      <w:r>
        <w:t xml:space="preserve">“capital expenditure”</w:t>
      </w:r>
      <w:r>
        <w:t xml:space="preserve">,</w:t>
      </w:r>
      <w:r>
        <w:t xml:space="preserve"> </w:t>
      </w:r>
      <w:r>
        <w:t xml:space="preserve">“fiscal 2018”</w:t>
      </w:r>
      <w:r>
        <w:t xml:space="preserve">) appear on</w:t>
      </w:r>
      <w:r>
        <w:t xml:space="preserve"> </w:t>
      </w:r>
      <w:r>
        <w:t xml:space="preserve">dozens of pages of every document, so term frequency barely discriminates,</w:t>
      </w:r>
      <w:r>
        <w:t xml:space="preserve"> </w:t>
      </w:r>
      <w:r>
        <w:t xml:space="preserve">while paraphrase (the statement line reads</w:t>
      </w:r>
      <w:r>
        <w:t xml:space="preserve"> </w:t>
      </w:r>
      <w:r>
        <w:t xml:space="preserve">“purchases of property, plant and</w:t>
      </w:r>
      <w:r>
        <w:t xml:space="preserve"> </w:t>
      </w:r>
      <w:r>
        <w:t xml:space="preserve">equipment”</w:t>
      </w:r>
      <w:r>
        <w:t xml:space="preserve">) defeats exact matching outright. The ms-marco cross-encoder also</w:t>
      </w:r>
      <w:r>
        <w:t xml:space="preserve"> </w:t>
      </w:r>
      <w:r>
        <w:t xml:space="preserve">underperforms the dense ranking it reranks (0.380 to 0.447 versus 0.500 at</w:t>
      </w:r>
      <w:r>
        <w:t xml:space="preserve"> </w:t>
      </w:r>
      <w:r>
        <w:t xml:space="preserve">k=10), and enlarging its pool makes it worse, the opposite of the usual</w:t>
      </w:r>
      <w:r>
        <w:t xml:space="preserve"> </w:t>
      </w:r>
      <w:r>
        <w:t xml:space="preserve">pattern: trained on web passages, it mis-scores dense financial tables, and a</w:t>
      </w:r>
      <w:r>
        <w:t xml:space="preserve"> </w:t>
      </w:r>
      <w:r>
        <w:t xml:space="preserve">larger pool only gives it more distractors to promote. Both components would</w:t>
      </w:r>
      <w:r>
        <w:t xml:space="preserve"> </w:t>
      </w:r>
      <w:r>
        <w:t xml:space="preserve">be net-negative additions to this system despite their standard-recipe</w:t>
      </w:r>
      <w:r>
        <w:t xml:space="preserve"> </w:t>
      </w:r>
      <w:r>
        <w:t xml:space="preserve">status.</w:t>
      </w:r>
    </w:p>
    <w:bookmarkEnd w:id="29"/>
    <w:bookmarkStart w:id="36" w:name="generation-1"/>
    <w:p>
      <w:pPr>
        <w:pStyle w:val="Heading2"/>
      </w:pPr>
      <w:r>
        <w:t xml:space="preserve">Generation</w:t>
      </w:r>
    </w:p>
    <w:p>
      <w:pPr>
        <w:pStyle w:val="TableCaption"/>
      </w:pPr>
      <w:r>
        <w:t xml:space="preserve">generation results. Accuracy is the judge’s fully-correct rate;</w:t>
      </w:r>
      <w:r>
        <w:t xml:space="preserve"> </w:t>
      </w:r>
      <w:r>
        <w:t xml:space="preserve">Numeric is scale-tolerant numeric accuracy; Halluc. is the judge’s</w:t>
      </w:r>
      <w:r>
        <w:t xml:space="preserve"> </w:t>
      </w:r>
      <w:r>
        <w:t xml:space="preserve">hallucination 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eneration results. Accuracy is the judge’s fully-correct rate; Numeric is scale-tolerant numeric accuracy; Halluc. is the judge’s hallucination rat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Abstain</w:t>
            </w:r>
          </w:p>
        </w:tc>
        <w:tc>
          <w:tcPr/>
          <w:p>
            <w:pPr>
              <w:pStyle w:val="Compact"/>
            </w:pPr>
            <w:r>
              <w:t xml:space="preserve">Cited</w:t>
            </w:r>
          </w:p>
        </w:tc>
        <w:tc>
          <w:tcPr/>
          <w:p>
            <w:pPr>
              <w:pStyle w:val="Compact"/>
            </w:pPr>
            <w:r>
              <w:t xml:space="preserve">Cite valid</w:t>
            </w:r>
          </w:p>
        </w:tc>
        <w:tc>
          <w:tcPr/>
          <w:p>
            <w:pPr>
              <w:pStyle w:val="Compact"/>
            </w:pPr>
            <w:r>
              <w:t xml:space="preserve">Halluc.</w:t>
            </w:r>
          </w:p>
        </w:tc>
        <w:tc>
          <w:tcPr/>
          <w:p>
            <w:pPr>
              <w:pStyle w:val="Compact"/>
            </w:pPr>
            <w:r>
              <w:t xml:space="preserve">s/q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qwen2.5-14B oracle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oracle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qwen2.5-14B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phi4-14B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qwen2.5-14B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  <w:r>
              <w:t xml:space="preserve">0.381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  <w:tc>
          <w:tcPr/>
          <w:p>
            <w:pPr>
              <w:pStyle w:val="Compac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llama3.1-8B</w:t>
            </w:r>
          </w:p>
        </w:tc>
        <w:tc>
          <w:tcPr/>
          <w:p>
            <w:pPr>
              <w:pStyle w:val="Compact"/>
            </w:pPr>
            <w:r>
              <w:t xml:space="preserve">retrieved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  <w:r>
              <w:t xml:space="preserve">0.278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qwen2.5-14B closed book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closed book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pPr>
        <w:pStyle w:val="CaptionedFigure"/>
      </w:pPr>
      <w:r>
        <w:drawing>
          <wp:inline>
            <wp:extent cx="5155561" cy="2991328"/>
            <wp:effectExtent b="0" l="0" r="0" t="0"/>
            <wp:docPr descr="Generation models under retrieved context." title="" id="31" name="Picture"/>
            <a:graphic>
              <a:graphicData uri="http://schemas.openxmlformats.org/drawingml/2006/picture">
                <pic:pic>
                  <pic:nvPicPr>
                    <pic:cNvPr descr="fig_gen_model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561" cy="299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Generation models under retrieved context.</w:t>
      </w:r>
    </w:p>
    <w:p>
      <w:pPr>
        <w:pStyle w:val="BodyText"/>
      </w:pPr>
      <w:r>
        <w:rPr>
          <w:b/>
          <w:bCs/>
        </w:rPr>
        <w:t xml:space="preserve">Model comparison.</w:t>
      </w:r>
      <w:r>
        <w:t xml:space="preserve"> </w:t>
      </w:r>
      <w:r>
        <w:t xml:space="preserve">The two 14B models tie at 0.367 under identical</w:t>
      </w:r>
      <w:r>
        <w:t xml:space="preserve"> </w:t>
      </w:r>
      <w:r>
        <w:t xml:space="preserve">retrieved context, well ahead of the 7B and 8B class (0.200 to 0.253).</w:t>
      </w:r>
      <w:r>
        <w:t xml:space="preserve"> </w:t>
      </w:r>
      <w:r>
        <w:t xml:space="preserve">Within the qwen family, doubling parameters is worth 12 points (0.247 to</w:t>
      </w:r>
      <w:r>
        <w:t xml:space="preserve"> </w:t>
      </w:r>
      <w:r>
        <w:t xml:space="preserve">0.367). llama3.1-8B pairs the lowest accuracy with the highest hallucination</w:t>
      </w:r>
      <w:r>
        <w:t xml:space="preserve"> </w:t>
      </w:r>
      <w:r>
        <w:t xml:space="preserve">rate (0.45) despite citing frequently, the worst combination for a system</w:t>
      </w:r>
      <w:r>
        <w:t xml:space="preserve"> </w:t>
      </w:r>
      <w:r>
        <w:t xml:space="preserve">meant to be trusted. Notably, phi4-14B matches qwen2.5-14B while abstaining</w:t>
      </w:r>
      <w:r>
        <w:t xml:space="preserve"> </w:t>
      </w:r>
      <w:r>
        <w:t xml:space="preserve">far more often (0.49 versus 0.36): it trades coverage for precision.</w:t>
      </w:r>
    </w:p>
    <w:p>
      <w:pPr>
        <w:pStyle w:val="CaptionedFigure"/>
      </w:pPr>
      <w:r>
        <w:drawing>
          <wp:inline>
            <wp:extent cx="4787963" cy="2991328"/>
            <wp:effectExtent b="0" l="0" r="0" t="0"/>
            <wp:docPr descr="Accuracy under closed book, retrieved, and oracle context." title="" id="34" name="Picture"/>
            <a:graphic>
              <a:graphicData uri="http://schemas.openxmlformats.org/drawingml/2006/picture">
                <pic:pic>
                  <pic:nvPicPr>
                    <pic:cNvPr descr="fig_context_mode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63" cy="299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under closed book, retrieved, and oracle context.</w:t>
      </w:r>
    </w:p>
    <w:p>
      <w:pPr>
        <w:pStyle w:val="BodyText"/>
      </w:pPr>
      <w:r>
        <w:rPr>
          <w:b/>
          <w:bCs/>
        </w:rPr>
        <w:t xml:space="preserve">Context ablations.</w:t>
      </w:r>
      <w:r>
        <w:t xml:space="preserve"> </w:t>
      </w:r>
      <w:r>
        <w:t xml:space="preserve">The closed-book runs collapse to 0.09 to 0.11 numeric</w:t>
      </w:r>
      <w:r>
        <w:t xml:space="preserve"> </w:t>
      </w:r>
      <w:r>
        <w:t xml:space="preserve">accuracy with zero citations, so essentially nothing the RAG system gets</w:t>
      </w:r>
      <w:r>
        <w:t xml:space="preserve"> </w:t>
      </w:r>
      <w:r>
        <w:t xml:space="preserve">right comes from pre-training memory. The oracle runs bound what better</w:t>
      </w:r>
      <w:r>
        <w:t xml:space="preserve"> </w:t>
      </w:r>
      <w:r>
        <w:t xml:space="preserve">retrieval could buy: with gold evidence in the prompt, qwen2.5-14B reaches</w:t>
      </w:r>
      <w:r>
        <w:t xml:space="preserve"> </w:t>
      </w:r>
      <w:r>
        <w:t xml:space="preserve">0.593 (and cites validly on 94 percent of answers). Raising k from 10 to 20</w:t>
      </w:r>
      <w:r>
        <w:t xml:space="preserve"> </w:t>
      </w:r>
      <w:r>
        <w:t xml:space="preserve">lifts context recall from 0.627 to 0.707 but end-to-end accuracy only from</w:t>
      </w:r>
      <w:r>
        <w:t xml:space="preserve"> </w:t>
      </w:r>
      <w:r>
        <w:t xml:space="preserve">0.367 to 0.387: the generator recovers just a fifth of the extra evidence it</w:t>
      </w:r>
      <w:r>
        <w:t xml:space="preserve"> </w:t>
      </w:r>
      <w:r>
        <w:t xml:space="preserve">is given, at a 43 percent latency premium.</w:t>
      </w:r>
    </w:p>
    <w:p>
      <w:pPr>
        <w:pStyle w:val="BodyText"/>
      </w:pPr>
      <w:r>
        <w:rPr>
          <w:b/>
          <w:bCs/>
        </w:rPr>
        <w:t xml:space="preserve">Citation behaviour.</w:t>
      </w:r>
      <w:r>
        <w:t xml:space="preserve"> </w:t>
      </w:r>
      <w:r>
        <w:t xml:space="preserve">Under oracle context, citation validity equals</w:t>
      </w:r>
      <w:r>
        <w:t xml:space="preserve"> </w:t>
      </w:r>
      <w:r>
        <w:t xml:space="preserve">citation rate (0.94 for the 14B): when the right evidence is present, the</w:t>
      </w:r>
      <w:r>
        <w:t xml:space="preserve"> </w:t>
      </w:r>
      <w:r>
        <w:t xml:space="preserve">model cites it. Under retrieved context, validity drops to roughly half the</w:t>
      </w:r>
      <w:r>
        <w:t xml:space="preserve"> </w:t>
      </w:r>
      <w:r>
        <w:t xml:space="preserve">citation rate (0.27 to 0.34 valid against 0.60 to 0.66 cited): models keep</w:t>
      </w:r>
      <w:r>
        <w:t xml:space="preserve"> </w:t>
      </w:r>
      <w:r>
        <w:t xml:space="preserve">citing fluently even when the cited passage does not contain the evidence,</w:t>
      </w:r>
      <w:r>
        <w:t xml:space="preserve"> </w:t>
      </w:r>
      <w:r>
        <w:t xml:space="preserve">which is exactly the failure mode citation validity was designed to expose.</w:t>
      </w:r>
    </w:p>
    <w:bookmarkEnd w:id="36"/>
    <w:bookmarkEnd w:id="37"/>
    <w:bookmarkStart w:id="43" w:name="error-analysis"/>
    <w:p>
      <w:pPr>
        <w:pStyle w:val="Heading1"/>
      </w:pPr>
      <w:r>
        <w:t xml:space="preserve">Error Analysis</w:t>
      </w:r>
    </w:p>
    <w:bookmarkStart w:id="38" w:name="retrieval-failures"/>
    <w:p>
      <w:pPr>
        <w:pStyle w:val="Heading2"/>
      </w:pPr>
      <w:r>
        <w:t xml:space="preserve">Retrieval failures</w:t>
      </w:r>
    </w:p>
    <w:p>
      <w:pPr>
        <w:pStyle w:val="FirstParagraph"/>
      </w:pPr>
      <w:r>
        <w:t xml:space="preserve">At the filtered k=10 operating point, 56 of 150 questions (37.3 percent) miss</w:t>
      </w:r>
      <w:r>
        <w:t xml:space="preserve"> </w:t>
      </w:r>
      <w:r>
        <w:t xml:space="preserve">the gold page: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document retrieved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document, wrong page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page hit but evidence text mostly absent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</w:tr>
    </w:tbl>
    <w:p>
      <w:pPr>
        <w:pStyle w:val="BodyText"/>
      </w:pPr>
      <w:r>
        <w:t xml:space="preserve">Document discrimination is essentially solved by the filter; what remains is</w:t>
      </w:r>
      <w:r>
        <w:t xml:space="preserve"> </w:t>
      </w:r>
      <w:r>
        <w:t xml:space="preserve">ranking inside a single filing, where the query must distinguish the income</w:t>
      </w:r>
      <w:r>
        <w:t xml:space="preserve"> </w:t>
      </w:r>
      <w:r>
        <w:t xml:space="preserve">statement from ten pages that mention the same terms. The third row is</w:t>
      </w:r>
      <w:r>
        <w:t xml:space="preserve"> </w:t>
      </w:r>
      <w:r>
        <w:t xml:space="preserve">invisible to page-level metrics: the right page was retrieved but the chunk</w:t>
      </w:r>
      <w:r>
        <w:t xml:space="preserve"> </w:t>
      </w:r>
      <w:r>
        <w:t xml:space="preserve">boundary cut the evidence away (median coverage 0.03 among those 19).</w:t>
      </w:r>
      <w:r>
        <w:t xml:space="preserve"> </w:t>
      </w:r>
      <w:r>
        <w:t xml:space="preserve">Failure rates differ sharply by question type: 16 percent for</w:t>
      </w:r>
      <w:r>
        <w:t xml:space="preserve"> </w:t>
      </w:r>
      <w:r>
        <w:t xml:space="preserve">metrics-generated questions, whose phrasing mirrors statement line items,</w:t>
      </w:r>
      <w:r>
        <w:t xml:space="preserve"> </w:t>
      </w:r>
      <w:r>
        <w:t xml:space="preserve">versus 56 percent for domain-relevant and 40 percent for novel-generated</w:t>
      </w:r>
      <w:r>
        <w:t xml:space="preserve"> </w:t>
      </w:r>
      <w:r>
        <w:t xml:space="preserve">questions, whose analyst phrasing shares little vocabulary with the evidence.</w:t>
      </w:r>
    </w:p>
    <w:bookmarkEnd w:id="38"/>
    <w:bookmarkStart w:id="42" w:name="attributing-end-to-end-errors"/>
    <w:p>
      <w:pPr>
        <w:pStyle w:val="Heading2"/>
      </w:pPr>
      <w:r>
        <w:t xml:space="preserve">Attributing end-to-end errors</w:t>
      </w:r>
    </w:p>
    <w:p>
      <w:pPr>
        <w:pStyle w:val="FirstParagraph"/>
      </w:pPr>
      <w:r>
        <w:t xml:space="preserve">Comparing qwen2.5-14B under retrieved (k=10) and oracle context on the same</w:t>
      </w:r>
      <w:r>
        <w:t xml:space="preserve"> </w:t>
      </w:r>
      <w:r>
        <w:t xml:space="preserve">150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Solved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  <w:tc>
          <w:tcPr/>
          <w:p>
            <w:pPr>
              <w:pStyle w:val="Compact"/>
            </w:pPr>
            <w:r>
              <w:t xml:space="preserve">correct with retrieved and with gold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Retrieval-limited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30.7%</w:t>
            </w:r>
          </w:p>
        </w:tc>
        <w:tc>
          <w:tcPr/>
          <w:p>
            <w:pPr>
              <w:pStyle w:val="Compact"/>
            </w:pPr>
            <w:r>
              <w:t xml:space="preserve">correct with gold evidence, wrong with retrieved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Generation-limited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40.7%</w:t>
            </w:r>
          </w:p>
        </w:tc>
        <w:tc>
          <w:tcPr/>
          <w:p>
            <w:pPr>
              <w:pStyle w:val="Compact"/>
            </w:pPr>
            <w:r>
              <w:t xml:space="preserve">wrong even with gold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Retrieval-rescued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  <w:tc>
          <w:tcPr/>
          <w:p>
            <w:pPr>
              <w:pStyle w:val="Compact"/>
            </w:pPr>
            <w:r>
              <w:t xml:space="preserve">wrong with gold evidence, right with retrieved</w:t>
            </w:r>
          </w:p>
        </w:tc>
      </w:tr>
    </w:tbl>
    <w:p>
      <w:pPr>
        <w:pStyle w:val="BodyText"/>
      </w:pPr>
      <w:r>
        <w:t xml:space="preserve">The retrieval-limited share (30.7 percent) is the headroom a perfect</w:t>
      </w:r>
      <w:r>
        <w:t xml:space="preserve"> </w:t>
      </w:r>
      <w:r>
        <w:t xml:space="preserve">retriever could recover; the generation-limited share (40.7 percent) is the</w:t>
      </w:r>
      <w:r>
        <w:t xml:space="preserve"> </w:t>
      </w:r>
      <w:r>
        <w:t xml:space="preserve">model’s own ceiling and is the larger of the two. The small retrieval-rescued</w:t>
      </w:r>
      <w:r>
        <w:t xml:space="preserve"> </w:t>
      </w:r>
      <w:r>
        <w:t xml:space="preserve">share is consistent with the near-floor closed-book accuracy: little arrives</w:t>
      </w:r>
      <w:r>
        <w:t xml:space="preserve"> </w:t>
      </w:r>
      <w:r>
        <w:t xml:space="preserve">from memory.</w:t>
      </w:r>
    </w:p>
    <w:p>
      <w:pPr>
        <w:pStyle w:val="CaptionedFigure"/>
      </w:pPr>
      <w:r>
        <w:drawing>
          <wp:inline>
            <wp:extent cx="5334000" cy="1969247"/>
            <wp:effectExtent b="0" l="0" r="0" t="0"/>
            <wp:docPr descr="Fully-correct rate by reasoning type for the best RAG run." title="" id="40" name="Picture"/>
            <a:graphic>
              <a:graphicData uri="http://schemas.openxmlformats.org/drawingml/2006/picture">
                <pic:pic>
                  <pic:nvPicPr>
                    <pic:cNvPr descr="fig_by_reasoning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Fully-correct rate by reasoning type for the best RAG run.</w:t>
      </w:r>
    </w:p>
    <w:p>
      <w:pPr>
        <w:pStyle w:val="BodyText"/>
      </w:pPr>
      <w:r>
        <w:t xml:space="preserve">Generation-limited failures concentrate in multi-step arithmetic: of the 61,</w:t>
      </w:r>
      <w:r>
        <w:t xml:space="preserve"> </w:t>
      </w:r>
      <w:r>
        <w:t xml:space="preserve">25 are labelled numerical or numerically-grounded logical reasoning, 14</w:t>
      </w:r>
      <w:r>
        <w:t xml:space="preserve"> </w:t>
      </w:r>
      <w:r>
        <w:t xml:space="preserve">information extraction, and 22 unlabelled (mostly novel-generated questions</w:t>
      </w:r>
      <w:r>
        <w:t xml:space="preserve"> </w:t>
      </w:r>
      <w:r>
        <w:t xml:space="preserve">that also require computation). Two representative oracle-context failures:</w:t>
      </w:r>
      <w:r>
        <w:t xml:space="preserve"> </w:t>
      </w:r>
      <w:r>
        <w:t xml:space="preserve">asked for AES Corporation’s FY2022 inventory turnover, the model set up the</w:t>
      </w:r>
      <w:r>
        <w:t xml:space="preserve"> </w:t>
      </w:r>
      <w:r>
        <w:t xml:space="preserve">correct formula, then mis-computed the average inventory and produced a wrong</w:t>
      </w:r>
      <w:r>
        <w:t xml:space="preserve"> </w:t>
      </w:r>
      <w:r>
        <w:t xml:space="preserve">ratio; asked for Amazon’s FY2017 days payable outstanding, it applied the</w:t>
      </w:r>
      <w:r>
        <w:t xml:space="preserve"> </w:t>
      </w:r>
      <w:r>
        <w:t xml:space="preserve">given formula and landed on 94.78 days against a gold 93.86, an arithmetic</w:t>
      </w:r>
      <w:r>
        <w:t xml:space="preserve"> </w:t>
      </w:r>
      <w:r>
        <w:t xml:space="preserve">slip inside an otherwise correct derivation. These are not retrieval or</w:t>
      </w:r>
      <w:r>
        <w:t xml:space="preserve"> </w:t>
      </w:r>
      <w:r>
        <w:t xml:space="preserve">comprehension errors; they are calculator errors, and no retrieval</w:t>
      </w:r>
      <w:r>
        <w:t xml:space="preserve"> </w:t>
      </w:r>
      <w:r>
        <w:t xml:space="preserve">improvement can fix them.</w:t>
      </w:r>
    </w:p>
    <w:bookmarkEnd w:id="42"/>
    <w:bookmarkEnd w:id="43"/>
    <w:bookmarkStart w:id="44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b/>
          <w:bCs/>
        </w:rPr>
        <w:t xml:space="preserve">What mattered.</w:t>
      </w:r>
      <w:r>
        <w:t xml:space="preserve"> </w:t>
      </w:r>
      <w:r>
        <w:t xml:space="preserve">One cheap, training-free intervention (metadata</w:t>
      </w:r>
      <w:r>
        <w:t xml:space="preserve"> </w:t>
      </w:r>
      <w:r>
        <w:t xml:space="preserve">filtering) outweighed every embedding and chunking change we measured, which</w:t>
      </w:r>
      <w:r>
        <w:t xml:space="preserve"> </w:t>
      </w:r>
      <w:r>
        <w:t xml:space="preserve">inverts the usual tuning priority for corpora of homogeneous, near-duplicate</w:t>
      </w:r>
      <w:r>
        <w:t xml:space="preserve"> </w:t>
      </w:r>
      <w:r>
        <w:t xml:space="preserve">documents. Embedding choice came second (e5-large-v2), chunk geometry third</w:t>
      </w:r>
      <w:r>
        <w:t xml:space="preserve"> </w:t>
      </w:r>
      <w:r>
        <w:t xml:space="preserve">and mostly as a coverage-versus-ranking trade-off. The standard additions,</w:t>
      </w:r>
      <w:r>
        <w:t xml:space="preserve"> </w:t>
      </w:r>
      <w:r>
        <w:t xml:space="preserve">BM25 hybrid and cross-encoder reranking, were net negative here, a reminder</w:t>
      </w:r>
      <w:r>
        <w:t xml:space="preserve"> </w:t>
      </w:r>
      <w:r>
        <w:t xml:space="preserve">that recipe components carry domain assumptions: term-frequency</w:t>
      </w:r>
      <w:r>
        <w:t xml:space="preserve"> </w:t>
      </w:r>
      <w:r>
        <w:t xml:space="preserve">discrimination and web-passage relevance both fail on boilerplate filings.</w:t>
      </w:r>
    </w:p>
    <w:p>
      <w:pPr>
        <w:pStyle w:val="BodyText"/>
      </w:pPr>
      <w:r>
        <w:rPr>
          <w:b/>
          <w:bCs/>
        </w:rPr>
        <w:t xml:space="preserve">Where the system is bound.</w:t>
      </w:r>
      <w:r>
        <w:t xml:space="preserve"> </w:t>
      </w:r>
      <w:r>
        <w:t xml:space="preserve">With the best retrieval we built (0.707</w:t>
      </w:r>
      <w:r>
        <w:t xml:space="preserve"> </w:t>
      </w:r>
      <w:r>
        <w:t xml:space="preserve">context recall at k=20), end-to-end accuracy is 0.387 while the oracle bound</w:t>
      </w:r>
      <w:r>
        <w:t xml:space="preserve"> </w:t>
      </w:r>
      <w:r>
        <w:t xml:space="preserve">is 0.593. Closing the entire retrieval gap would therefore still leave more</w:t>
      </w:r>
      <w:r>
        <w:t xml:space="preserve"> </w:t>
      </w:r>
      <w:r>
        <w:t xml:space="preserve">than 40 percent of questions failing on generation, dominated by financial</w:t>
      </w:r>
      <w:r>
        <w:t xml:space="preserve"> </w:t>
      </w:r>
      <w:r>
        <w:t xml:space="preserve">arithmetic. The most promising next steps split accordingly: on the</w:t>
      </w:r>
      <w:r>
        <w:t xml:space="preserve"> </w:t>
      </w:r>
      <w:r>
        <w:t xml:space="preserve">retrieval side, table-aware chunking and rerankers trained on financial text</w:t>
      </w:r>
      <w:r>
        <w:t xml:space="preserve"> </w:t>
      </w:r>
      <w:r>
        <w:t xml:space="preserve">to attack the within-document ranking problem; on the generation side,</w:t>
      </w:r>
      <w:r>
        <w:t xml:space="preserve"> </w:t>
      </w:r>
      <w:r>
        <w:t xml:space="preserve">tool-augmented arithmetic (a calculator the model must route computations</w:t>
      </w:r>
      <w:r>
        <w:t xml:space="preserve"> </w:t>
      </w:r>
      <w:r>
        <w:t xml:space="preserve">through) or larger unquantised models.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Ground truth is page-level, so a chunk from the right page</w:t>
      </w:r>
      <w:r>
        <w:t xml:space="preserve"> </w:t>
      </w:r>
      <w:r>
        <w:t xml:space="preserve">counts as relevant even if tables on that page mislead the model, and our</w:t>
      </w:r>
      <w:r>
        <w:t xml:space="preserve"> </w:t>
      </w:r>
      <w:r>
        <w:t xml:space="preserve">strict-recall and coverage metrics only approximate span-level relevance.</w:t>
      </w:r>
      <w:r>
        <w:t xml:space="preserve"> </w:t>
      </w:r>
      <w:r>
        <w:t xml:space="preserve">The judge is qwen2.5-14B, which also appears as a system under test; a judge</w:t>
      </w:r>
      <w:r>
        <w:t xml:space="preserve"> </w:t>
      </w:r>
      <w:r>
        <w:t xml:space="preserve">may prefer its own outputs, and although its verdicts agree substantially</w:t>
      </w:r>
      <w:r>
        <w:t xml:space="preserve"> </w:t>
      </w:r>
      <w:r>
        <w:t xml:space="preserve">with the deterministic numeric metric (kappa 0.607 over 1,008 answers) and</w:t>
      </w:r>
      <w:r>
        <w:t xml:space="preserve"> </w:t>
      </w:r>
      <w:r>
        <w:t xml:space="preserve">the model ranking is unchanged under the purely deterministic metrics, no</w:t>
      </w:r>
      <w:r>
        <w:t xml:space="preserve"> </w:t>
      </w:r>
      <w:r>
        <w:t xml:space="preserve">human labels were collected. All models are Q4 quantised, which may</w:t>
      </w:r>
      <w:r>
        <w:t xml:space="preserve"> </w:t>
      </w:r>
      <w:r>
        <w:t xml:space="preserve">understate their unquantised accuracy, particularly on arithmetic. Runs are</w:t>
      </w:r>
      <w:r>
        <w:t xml:space="preserve"> </w:t>
      </w:r>
      <w:r>
        <w:t xml:space="preserve">deterministic (temperature 0) single passes, so we report no variance. The</w:t>
      </w:r>
      <w:r>
        <w:t xml:space="preserve"> </w:t>
      </w:r>
      <w:r>
        <w:t xml:space="preserve">metadata filter depends on the company being named in the question (127 of</w:t>
      </w:r>
      <w:r>
        <w:t xml:space="preserve"> </w:t>
      </w:r>
      <w:r>
        <w:t xml:space="preserve">150 here); conversational queries with pronouns would need coreference</w:t>
      </w:r>
      <w:r>
        <w:t xml:space="preserve"> </w:t>
      </w:r>
      <w:r>
        <w:t xml:space="preserve">handling before this gain transfers. Finally, 23 of 84 documents came from</w:t>
      </w:r>
      <w:r>
        <w:t xml:space="preserve"> </w:t>
      </w:r>
      <w:r>
        <w:t xml:space="preserve">the benchmark’s mirror rather than the original URLs; the manifest records</w:t>
      </w:r>
      <w:r>
        <w:t xml:space="preserve"> </w:t>
      </w:r>
      <w:r>
        <w:t xml:space="preserve">this, but a fully link-rot-proof reproduction depends on that mirror</w:t>
      </w:r>
      <w:r>
        <w:t xml:space="preserve"> </w:t>
      </w:r>
      <w:r>
        <w:t xml:space="preserve">persisting.</w:t>
      </w:r>
    </w:p>
    <w:bookmarkEnd w:id="44"/>
    <w:bookmarkStart w:id="4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built and evaluated a complete, fully local RAG pipeline for FinanceBench:</w:t>
      </w:r>
      <w:r>
        <w:t xml:space="preserve"> </w:t>
      </w:r>
      <w:r>
        <w:t xml:space="preserve">84 documents and 12,013 pages ingested with full question coverage, 41</w:t>
      </w:r>
      <w:r>
        <w:t xml:space="preserve"> </w:t>
      </w:r>
      <w:r>
        <w:t xml:space="preserve">retrieval configurations, five generation models, and ablations that separate</w:t>
      </w:r>
      <w:r>
        <w:t xml:space="preserve"> </w:t>
      </w:r>
      <w:r>
        <w:t xml:space="preserve">retrieval from generation failures. The best system (metadata-filtered dense</w:t>
      </w:r>
      <w:r>
        <w:t xml:space="preserve"> </w:t>
      </w:r>
      <w:r>
        <w:t xml:space="preserve">retrieval with bge-base embeddings feeding qwen2.5-14B at k=20) answers 38.7</w:t>
      </w:r>
      <w:r>
        <w:t xml:space="preserve"> </w:t>
      </w:r>
      <w:r>
        <w:t xml:space="preserve">percent of the 150 questions fully correctly by LLM-judge assessment, with a</w:t>
      </w:r>
      <w:r>
        <w:t xml:space="preserve"> </w:t>
      </w:r>
      <w:r>
        <w:t xml:space="preserve">0.707 context recall and near-zero reliance on pre-training memory. The</w:t>
      </w:r>
      <w:r>
        <w:t xml:space="preserve"> </w:t>
      </w:r>
      <w:r>
        <w:t xml:space="preserve">experimental program yielded three transferable lessons: exploit document</w:t>
      </w:r>
      <w:r>
        <w:t xml:space="preserve"> </w:t>
      </w:r>
      <w:r>
        <w:t xml:space="preserve">identity metadata before tuning anything else on homogeneous corpora; do not</w:t>
      </w:r>
      <w:r>
        <w:t xml:space="preserve"> </w:t>
      </w:r>
      <w:r>
        <w:t xml:space="preserve">assume BM25 hybrids or general-purpose rerankers transfer to financial text;</w:t>
      </w:r>
      <w:r>
        <w:t xml:space="preserve"> </w:t>
      </w:r>
      <w:r>
        <w:t xml:space="preserve">and measure the oracle bound early, because past a point, and we are past it,</w:t>
      </w:r>
      <w:r>
        <w:t xml:space="preserve"> </w:t>
      </w:r>
      <w:r>
        <w:t xml:space="preserve">the generator’s arithmetic, not the retriever, is the binding constraint.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and Evaluating a Retrieval-Augmented Generation System on FinanceBench</dc:title>
  <dc:creator>Marwane Mhenni; Hamza El hamdi; Ali Cherri</dc:creator>
  <cp:keywords/>
  <dcterms:created xsi:type="dcterms:W3CDTF">2026-07-27T22:46:07Z</dcterms:created>
  <dcterms:modified xsi:type="dcterms:W3CDTF">2026-07-27T22:46:07Z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NLP Graded Project A</vt:lpwstr>
  </property>
  <property fmtid="{D5CDD505-2E9C-101B-9397-08002B2CF9AE}" pid="3" name="fontsize">
    <vt:lpwstr>11pt</vt:lpwstr>
  </property>
  <property fmtid="{D5CDD505-2E9C-101B-9397-08002B2CF9AE}" pid="4" name="geometry">
    <vt:lpwstr>margin=2.8cm</vt:lpwstr>
  </property>
  <property fmtid="{D5CDD505-2E9C-101B-9397-08002B2CF9AE}" pid="5" name="numbersections">
    <vt:lpwstr>True</vt:lpwstr>
  </property>
</Properties>
</file>