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4.12 — 20 juillet 2026 · Intègre les ratifications du 15.07 (R89→R103), du 19.07 (R104→R132) et du 20.07 (R133→R155, dont les Personnes liées — le lien est un acte : habilitation paramétrable, référentiel cumulable, miroir bijectif, chercher-ou-créer). 233 identifiants de scénarios · 256 tests de corpus.</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