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R1–R52 et scénarios d'acceptance (Gherkin)</w:t>
      </w:r>
    </w:p>
    <w:p>
      <w:pPr>
        <w:spacing w:after="160" w:before="0"/>
        <w:jc w:val="center"/>
      </w:pPr>
      <w:r>
        <w:rPr>
          <w:rFonts w:ascii="Calibri" w:cs="Calibri" w:eastAsia="Calibri" w:hAnsi="Calibri"/>
          <w:color w:val="666666"/>
          <w:sz w:val="20"/>
          <w:szCs w:val="20"/>
        </w:rPr>
        <w:t xml:space="preserve">Version 2.1 — 12 juillet 2026 — Catalogue complet, blocs 1 à 7 — 65 scénarios, aligné sur la suite de tests exécutable</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R52)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v2.1). </w:t>
      </w:r>
      <w:r>
        <w:rPr>
          <w:rFonts w:ascii="Calibri" w:cs="Calibri" w:eastAsia="Calibri" w:hAnsi="Calibri"/>
          <w:sz w:val="22"/>
          <w:szCs w:val="22"/>
        </w:rPr>
        <w:t xml:space="preserve">Tout contributeur de données du dossier — quelle que soit la section touchée — est exclu du visa de validation finale. Le principe 4-yeux de l'étape finale est global au dossier, et non limité à la seule étape finale. Extension de R13 et R15.</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Amendements v2.1 (R25, R29 — ratifiés). </w:t>
      </w:r>
      <w:r>
        <w:rPr>
          <w:rFonts w:ascii="Calibri" w:cs="Calibri" w:eastAsia="Calibri" w:hAnsi="Calibri"/>
          <w:sz w:val="22"/>
          <w:szCs w:val="22"/>
        </w:rPr>
        <w:t xml:space="preserve">R29 étendu (S-09) : le versioning par date de mise en vigueur avec grandfathering s'applique à TOUT artefact de configuration — matrice documentaire, définitions de sections, questionnaires, règles de scoring, workflows ; un dossier validé est estampillé avec le snapshot complet du référentiel, et la recertification rebase obligatoirement sur le référentiel courant. R25 étendu (S-10/S-10b) : le visa conditionnel à un document manquant saute à l'échéance du délai (paramètre tenant, défaut 30 jours) avec escalade si le document est obligatoire ; si le document est optionnel, l'échéance déclenche une escalade sans invalidation.</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sous la version N du référentiel (sections, questionnaires, matrice)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version N+1 du référentiel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conforme à sa version N (grandfathering), estampille immuable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la prochaine recertification, le dossier rebase obligatoirement sur la version N+1</w:t>
      </w:r>
    </w:p>
    <w:p>
      <w:pPr>
        <w:shd w:fill="F2EFE9" w:val="clear"/>
        <w:spacing w:after="60" w:before="200"/>
        <w:ind w:left="240"/>
      </w:pPr>
      <w:r>
        <w:rPr>
          <w:rFonts w:ascii="Consolas" w:cs="Consolas" w:eastAsia="Consolas" w:hAnsi="Consolas"/>
          <w:b/>
          <w:bCs/>
          <w:sz w:val="19"/>
          <w:szCs w:val="19"/>
        </w:rPr>
        <w:t xml:space="preserve">Scénario S-10 — Visa conditionnel : document obligatoire jamais reçu (R25 étendu)</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visée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(défaut : 30 jours) expire sans réception du document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Visa conditionnel : document optionnel (R25 étendu)</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visée conditionnellement à la réception d'un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du document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reste accordé : aucun document optionnel n'invalide un visa</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 La version 2.1 intègre les amendements ratifiés le 12 juillet 2026 — R52/V-18, S-09, S-10 et S-10b — portant le catalogue à 65 scénarios normatifs, identiques un à un à la suite de tests du moteur de référence (catalogue papier = catalogue exécutable).</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