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R1–R62 et scénarios d'acceptance (Gherkin)</w:t>
      </w:r>
    </w:p>
    <w:p>
      <w:pPr>
        <w:spacing w:after="160" w:before="0"/>
        <w:jc w:val="center"/>
      </w:pPr>
      <w:r>
        <w:rPr>
          <w:rFonts w:ascii="Calibri" w:cs="Calibri" w:eastAsia="Calibri" w:hAnsi="Calibri"/>
          <w:color w:val="666666"/>
          <w:sz w:val="20"/>
          <w:szCs w:val="20"/>
        </w:rPr>
        <w:t xml:space="preserve">Version 3.6 — 13 juillet 2026 — Catalogue complet, blocs 1 à 16 + annexes A-D</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R77 — catalogue intégralement ratifié)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R14 — Complément ratifié (12.07.2026). </w:t>
      </w:r>
      <w:r>
        <w:rPr>
          <w:rFonts w:ascii="Calibri" w:cs="Calibri" w:eastAsia="Calibri" w:hAnsi="Calibri"/>
          <w:sz w:val="22"/>
          <w:szCs w:val="22"/>
        </w:rPr>
        <w:t xml:space="preserve">L'annulation d'un visa pour vice de process fait repasser la section concernée à l'état « En préparation » : le travail doit être refait et re-visé. (Précision de V-15 issue du croisement bi-moteur, qui avait révélé une section restée « Visée » avec un visa « Annulé ».)</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12.07.2026, numérotation continue). </w:t>
      </w:r>
      <w:r>
        <w:rPr>
          <w:rFonts w:ascii="Calibri" w:cs="Calibri" w:eastAsia="Calibri" w:hAnsi="Calibri"/>
          <w:sz w:val="22"/>
          <w:szCs w:val="22"/>
        </w:rPr>
        <w:t xml:space="preserve">Tout contributeur de données du dossier, quelle que soit la section touchée, est exclu du visa de validation finale : le principe 4-yeux de l'étape finale est global au dossier (extension R13 / R15). Scénario V-18.</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spacing w:after="60" w:before="160"/>
      </w:pPr>
      <w:r>
        <w:rPr>
          <w:rFonts w:ascii="Calibri" w:cs="Calibri" w:eastAsia="Calibri" w:hAnsi="Calibri"/>
          <w:b/>
          <w:bCs/>
          <w:sz w:val="22"/>
          <w:szCs w:val="22"/>
        </w:rPr>
        <w:t xml:space="preserve">R53 — Concurrence optimiste (ratifié 12.07.2026, numérotation continue). </w:t>
      </w:r>
      <w:r>
        <w:rPr>
          <w:rFonts w:ascii="Calibri" w:cs="Calibri" w:eastAsia="Calibri" w:hAnsi="Calibri"/>
          <w:sz w:val="22"/>
          <w:szCs w:val="22"/>
        </w:rPr>
        <w:t xml:space="preserve">Toute commande utilisateur peut porter la version attendue de son dossier (nombre d'événements effectifs le concernant). Une commande fondée sur une version périmée est rejetée sans aucun effet, avec la version courante en retour (« dossier modifié entre-temps, rechargez ») ; la tentative est tracée. Les lectures journalisées (R47) et les conflits eux-mêmes n'incrémentent pas la version. Une commande sans version attendue (processus internes, migration) reste valide. Scénarios C-01 à C-05.</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shd w:fill="F2EFE9" w:val="clear"/>
        <w:spacing w:after="60" w:before="200"/>
        <w:ind w:left="240"/>
      </w:pPr>
      <w:r>
        <w:rPr>
          <w:rFonts w:ascii="Consolas" w:cs="Consolas" w:eastAsia="Consolas" w:hAnsi="Consolas"/>
          <w:b/>
          <w:bCs/>
          <w:sz w:val="19"/>
          <w:szCs w:val="19"/>
        </w:rPr>
        <w:t xml:space="preserve">Scénario C-01 — Deux intervenants, le second est périmé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version v chargé par CO1 et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CO1 modifie une donnée (le dossier passe en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CO2 soumet une modification fondée sur la version v</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de CO2 est rejetée avec le motif R53</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ne porte aucune trace de la modification de CO2</w:t>
      </w:r>
    </w:p>
    <w:p>
      <w:pPr>
        <w:shd w:fill="F2EFE9" w:val="clear"/>
        <w:spacing w:after="60" w:before="200"/>
        <w:ind w:left="240"/>
      </w:pPr>
      <w:r>
        <w:rPr>
          <w:rFonts w:ascii="Consolas" w:cs="Consolas" w:eastAsia="Consolas" w:hAnsi="Consolas"/>
          <w:b/>
          <w:bCs/>
          <w:sz w:val="19"/>
          <w:szCs w:val="19"/>
        </w:rPr>
        <w:t xml:space="preserve">Scénario C-02 — Le rejet guide le rechargement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réponse de rejet contient la version courante du dossier</w:t>
      </w:r>
    </w:p>
    <w:p>
      <w:pPr>
        <w:shd w:fill="F2EFE9" w:val="clear"/>
        <w:spacing w:after="60" w:before="200"/>
        <w:ind w:left="240"/>
      </w:pPr>
      <w:r>
        <w:rPr>
          <w:rFonts w:ascii="Consolas" w:cs="Consolas" w:eastAsia="Consolas" w:hAnsi="Consolas"/>
          <w:b/>
          <w:bCs/>
          <w:sz w:val="19"/>
          <w:szCs w:val="19"/>
        </w:rPr>
        <w:t xml:space="preserve">Scénario C-03 — Compatibilité : commande sans version (R53)</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commande est émise sans version attendue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s'applique selon les règles ordinaires (R1-R52)</w:t>
      </w:r>
    </w:p>
    <w:p>
      <w:pPr>
        <w:shd w:fill="F2EFE9" w:val="clear"/>
        <w:spacing w:after="60" w:before="200"/>
        <w:ind w:left="240"/>
      </w:pPr>
      <w:r>
        <w:rPr>
          <w:rFonts w:ascii="Consolas" w:cs="Consolas" w:eastAsia="Consolas" w:hAnsi="Consolas"/>
          <w:b/>
          <w:bCs/>
          <w:sz w:val="19"/>
          <w:szCs w:val="19"/>
        </w:rPr>
        <w:t xml:space="preserve">Scénario C-04 — Le conflit ne consomme pas de version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conflit R53 subi par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CO2 recharge et rejoue sa commande avec la version courante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s'applique</w:t>
      </w:r>
    </w:p>
    <w:p>
      <w:pPr>
        <w:shd w:fill="F2EFE9" w:val="clear"/>
        <w:spacing w:after="60" w:before="200"/>
        <w:ind w:left="240"/>
      </w:pPr>
      <w:r>
        <w:rPr>
          <w:rFonts w:ascii="Consolas" w:cs="Consolas" w:eastAsia="Consolas" w:hAnsi="Consolas"/>
          <w:b/>
          <w:bCs/>
          <w:sz w:val="19"/>
          <w:szCs w:val="19"/>
        </w:rPr>
        <w:t xml:space="preserve">Scénario C-05 — Version strictement monotone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version d'un dossier croît de 1 par événement effectif le concernant, et jamais sur lecture (R47) ni sur conflit (R53)</w:t>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R25 — Amendement ratifié (12.07.2026). </w:t>
      </w:r>
      <w:r>
        <w:rPr>
          <w:rFonts w:ascii="Calibri" w:cs="Calibri" w:eastAsia="Calibri" w:hAnsi="Calibri"/>
          <w:sz w:val="22"/>
          <w:szCs w:val="22"/>
        </w:rPr>
        <w:t xml:space="preserve">Délai du visa conditionnel : si le document attendu est obligatoire et n'est jamais reçu, le visa conditionnel saute à l'échéance du délai (paramètre tenant, défaut 30 jours) avec escalade ; si le document est optionnel, l'échéance déclenche une escalade sans invalidation. Scénarios S-10 / S-10b.</w:t>
      </w:r>
    </w:p>
    <w:p>
      <w:pPr>
        <w:spacing w:after="60" w:before="160"/>
      </w:pPr>
      <w:r>
        <w:rPr>
          <w:rFonts w:ascii="Calibri" w:cs="Calibri" w:eastAsia="Calibri" w:hAnsi="Calibri"/>
          <w:b/>
          <w:bCs/>
          <w:sz w:val="22"/>
          <w:szCs w:val="22"/>
        </w:rPr>
        <w:t xml:space="preserve">R29 — Amendement ratifié (12.07.2026). </w:t>
      </w:r>
      <w:r>
        <w:rPr>
          <w:rFonts w:ascii="Calibri" w:cs="Calibri" w:eastAsia="Calibri" w:hAnsi="Calibri"/>
          <w:sz w:val="22"/>
          <w:szCs w:val="22"/>
        </w:rPr>
        <w:t xml:space="preserve">Versioning généralisé : le versioning par date de mise en vigueur avec grandfathering s'applique à tout artefact de configuration (matrice documentaire, sections, questionnaires, règles, workflows). Le dossier validé est estampillé avec le snapshot complet du référentiel ; la recertification rebase obligatoirement. Scénario S-09.</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estampillé avec le snapshot complet du référentiel en vigueur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nouvelle version d'un artefact de configuration (sections, questionnaires, règles, matrice)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son estampille (grandfathering)</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suivante rebase obligatoirement sur le référentiel courant</w:t>
      </w:r>
    </w:p>
    <w:p>
      <w:pPr>
        <w:shd w:fill="F2EFE9" w:val="clear"/>
        <w:spacing w:after="60" w:before="200"/>
        <w:ind w:left="240"/>
      </w:pPr>
      <w:r>
        <w:rPr>
          <w:rFonts w:ascii="Consolas" w:cs="Consolas" w:eastAsia="Consolas" w:hAnsi="Consolas"/>
          <w:b/>
          <w:bCs/>
          <w:sz w:val="19"/>
          <w:szCs w:val="19"/>
        </w:rPr>
        <w:t xml:space="preserve">Scénario S-10 — Document obligatoire jamais reçu : le visa conditionnel saute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(paramètre tenant, défaut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Document optionnel : escalade sans invalidation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expire sans réception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conditionnel reste accordé</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spacing w:after="60" w:before="160"/>
      </w:pPr>
      <w:r>
        <w:rPr>
          <w:rFonts w:ascii="Calibri" w:cs="Calibri" w:eastAsia="Calibri" w:hAnsi="Calibri"/>
          <w:b/>
          <w:bCs/>
          <w:sz w:val="22"/>
          <w:szCs w:val="22"/>
        </w:rPr>
        <w:t xml:space="preserve">R54 — Déclencheur du temps (ratifié 12.07.2026, numérotation continue). </w:t>
      </w:r>
      <w:r>
        <w:rPr>
          <w:rFonts w:ascii="Calibri" w:cs="Calibri" w:eastAsia="Calibri" w:hAnsi="Calibri"/>
          <w:sz w:val="22"/>
          <w:szCs w:val="22"/>
        </w:rPr>
        <w:t xml:space="preserve">Un point d'entrée unique tick_global(now) exécute toutes les échéances du moteur (rappels et escalades R5, abandon R19, visa conditionnel R25, dé-PEPisation R33, SLA R39, screening périodique R42). Il est idempotent (rejouer à la même date n'émet aucun événement métier supplémentaire), monotone (un tick antérieur au dernier tick exécuté est refusé sans effet et la tentative est tracée), rattrapant (les échéances intermédiaires sont traitées en une passe, sans sur-émission) et auditable (chaque exécution journalise son bilan : date, nombre d'événements émis). Scénarios K-01 à K-05.</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shd w:fill="F2EFE9" w:val="clear"/>
        <w:spacing w:after="60" w:before="200"/>
        <w:ind w:left="240"/>
      </w:pPr>
      <w:r>
        <w:rPr>
          <w:rFonts w:ascii="Consolas" w:cs="Consolas" w:eastAsia="Consolas" w:hAnsi="Consolas"/>
          <w:b/>
          <w:bCs/>
          <w:sz w:val="19"/>
          <w:szCs w:val="19"/>
        </w:rPr>
        <w:t xml:space="preserve">Scénario K-01 — Une passe couvre toutes les familles d'échéances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exécuté avec des échéances R19, R39 et R42 échues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rappels d'abandon, dépassements de SLA et batchs de screening sont émis en une passe</w:t>
      </w:r>
    </w:p>
    <w:p>
      <w:pPr>
        <w:shd w:fill="F2EFE9" w:val="clear"/>
        <w:spacing w:after="60" w:before="200"/>
        <w:ind w:left="240"/>
      </w:pPr>
      <w:r>
        <w:rPr>
          <w:rFonts w:ascii="Consolas" w:cs="Consolas" w:eastAsia="Consolas" w:hAnsi="Consolas"/>
          <w:b/>
          <w:bCs/>
          <w:sz w:val="19"/>
          <w:szCs w:val="19"/>
        </w:rPr>
        <w:t xml:space="preserve">Scénario K-02 — Idempotence à date identique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tick_global(now) déjà exécuté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rejoué à la même date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aucun événement métier supplémentaire n'est émis et le bilan indique zéro</w:t>
      </w:r>
    </w:p>
    <w:p>
      <w:pPr>
        <w:shd w:fill="F2EFE9" w:val="clear"/>
        <w:spacing w:after="60" w:before="200"/>
        <w:ind w:left="240"/>
      </w:pPr>
      <w:r>
        <w:rPr>
          <w:rFonts w:ascii="Consolas" w:cs="Consolas" w:eastAsia="Consolas" w:hAnsi="Consolas"/>
          <w:b/>
          <w:bCs/>
          <w:sz w:val="19"/>
          <w:szCs w:val="19"/>
        </w:rPr>
        <w:t xml:space="preserve">Scénario K-03 — Rattrapage en une passe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scheduler resté inactif au-delà de plusieurs échéances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exécuté tardivement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toutes les échéances intermédiaires sont traitées sans sur-émission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rejeu immédiat n'émet plus rien</w:t>
      </w:r>
    </w:p>
    <w:p>
      <w:pPr>
        <w:shd w:fill="F2EFE9" w:val="clear"/>
        <w:spacing w:after="60" w:before="200"/>
        <w:ind w:left="240"/>
      </w:pPr>
      <w:r>
        <w:rPr>
          <w:rFonts w:ascii="Consolas" w:cs="Consolas" w:eastAsia="Consolas" w:hAnsi="Consolas"/>
          <w:b/>
          <w:bCs/>
          <w:sz w:val="19"/>
          <w:szCs w:val="19"/>
        </w:rPr>
        <w:t xml:space="preserve">Scénario K-04 — Horloge qui recule refusée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appelé avec une date antérieure au dernier tick exécuté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l'exécution est refusée sans aucun effet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hd w:fill="F2EFE9" w:val="clear"/>
        <w:spacing w:after="60" w:before="200"/>
        <w:ind w:left="240"/>
      </w:pPr>
      <w:r>
        <w:rPr>
          <w:rFonts w:ascii="Consolas" w:cs="Consolas" w:eastAsia="Consolas" w:hAnsi="Consolas"/>
          <w:b/>
          <w:bCs/>
          <w:sz w:val="19"/>
          <w:szCs w:val="19"/>
        </w:rPr>
        <w:t xml:space="preserve">Scénario K-05 — Bilan journalisé (R54)</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exécution journalise un événement de bilan portant la date et le nombre d'événements émis</w:t>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spacing w:after="60" w:before="160"/>
      </w:pPr>
      <w:r>
        <w:rPr>
          <w:rFonts w:ascii="Calibri" w:cs="Calibri" w:eastAsia="Calibri" w:hAnsi="Calibri"/>
          <w:b/>
          <w:bCs/>
          <w:sz w:val="22"/>
          <w:szCs w:val="22"/>
        </w:rPr>
        <w:t xml:space="preserve">R55 — Snapshots de reprise (ratifié 12.07.2026, numérotation continue). </w:t>
      </w:r>
      <w:r>
        <w:rPr>
          <w:rFonts w:ascii="Calibri" w:cs="Calibri" w:eastAsia="Calibri" w:hAnsi="Calibri"/>
          <w:sz w:val="22"/>
          <w:szCs w:val="22"/>
        </w:rPr>
        <w:t xml:space="preserve">L'état d'un dossier peut être photographié à sa version R53 courante et restauré à l'identique. Fidélité : le dossier restauré est canoniquement identique et comportementalement vivant — une commande y produit le même résultat que sur l'original. O(récent) : la restauration lit le dernier snapshot et les seuls événements du dossier qui lui sont postérieurs, jamais le journal entier. Retard signalé : si des événements postérieurs existent, leur nombre est retourné. Immuabilité : un snapshot ne peut être ni modifié ni réécrit à la même version (cohérence R49). La prise de snapshot, le tick du scheduler et les conflits R53 sont des événements de pilotage : ils n'incrémentent pas la version du dossier. Scénarios SN-01 à SN-05.</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shd w:fill="F2EFE9" w:val="clear"/>
        <w:spacing w:after="60" w:before="200"/>
        <w:ind w:left="240"/>
      </w:pPr>
      <w:r>
        <w:rPr>
          <w:rFonts w:ascii="Consolas" w:cs="Consolas" w:eastAsia="Consolas" w:hAnsi="Consolas"/>
          <w:b/>
          <w:bCs/>
          <w:sz w:val="19"/>
          <w:szCs w:val="19"/>
        </w:rPr>
        <w:t xml:space="preserve">Scénario SN-01 — Round-trip fidèle à version conservée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photographié à sa version v</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est restauré dans un moteur neuf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son état canonique est identique et sa version est v</w:t>
      </w:r>
    </w:p>
    <w:p>
      <w:pPr>
        <w:shd w:fill="F2EFE9" w:val="clear"/>
        <w:spacing w:after="60" w:before="200"/>
        <w:ind w:left="240"/>
      </w:pPr>
      <w:r>
        <w:rPr>
          <w:rFonts w:ascii="Consolas" w:cs="Consolas" w:eastAsia="Consolas" w:hAnsi="Consolas"/>
          <w:b/>
          <w:bCs/>
          <w:sz w:val="19"/>
          <w:szCs w:val="19"/>
        </w:rPr>
        <w:t xml:space="preserve">Scénario SN-02 — Le dossier restauré est vivant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même commande est exécutée sur l'original et sur le restauré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produisent le même résultat, y compris les mêmes refus de règles (4-yeux)</w:t>
      </w:r>
    </w:p>
    <w:p>
      <w:pPr>
        <w:shd w:fill="F2EFE9" w:val="clear"/>
        <w:spacing w:after="60" w:before="200"/>
        <w:ind w:left="240"/>
      </w:pPr>
      <w:r>
        <w:rPr>
          <w:rFonts w:ascii="Consolas" w:cs="Consolas" w:eastAsia="Consolas" w:hAnsi="Consolas"/>
          <w:b/>
          <w:bCs/>
          <w:sz w:val="19"/>
          <w:szCs w:val="19"/>
        </w:rPr>
        <w:t xml:space="preserve">Scénario SN-03 — Restauration O(récent)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cinq cents événements d'autres dossiers postérieurs au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ne lit aucun de ces événements (index par dossier, R51)</w:t>
      </w:r>
    </w:p>
    <w:p>
      <w:pPr>
        <w:shd w:fill="F2EFE9" w:val="clear"/>
        <w:spacing w:after="60" w:before="200"/>
        <w:ind w:left="240"/>
      </w:pPr>
      <w:r>
        <w:rPr>
          <w:rFonts w:ascii="Consolas" w:cs="Consolas" w:eastAsia="Consolas" w:hAnsi="Consolas"/>
          <w:b/>
          <w:bCs/>
          <w:sz w:val="19"/>
          <w:szCs w:val="19"/>
        </w:rPr>
        <w:t xml:space="preserve">Scénario SN-04 — Retard signalé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des événements du dossier postérieurs au dernier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retourne leur nombre — l'exploitant sait ce qui manque</w:t>
      </w:r>
    </w:p>
    <w:p>
      <w:pPr>
        <w:shd w:fill="F2EFE9" w:val="clear"/>
        <w:spacing w:after="60" w:before="200"/>
        <w:ind w:left="240"/>
      </w:pPr>
      <w:r>
        <w:rPr>
          <w:rFonts w:ascii="Consolas" w:cs="Consolas" w:eastAsia="Consolas" w:hAnsi="Consolas"/>
          <w:b/>
          <w:bCs/>
          <w:sz w:val="19"/>
          <w:szCs w:val="19"/>
        </w:rPr>
        <w:t xml:space="preserve">Scénario SN-05 — Snapshot immuable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réécriture du snapshot à la même version est tentée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refusée au niveau base (append-only, cohérence R49)</w:t>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p>
      <w:pPr>
        <w:spacing w:after="60" w:before="160"/>
      </w:pPr>
      <w:r>
        <w:rPr>
          <w:rFonts w:ascii="Calibri" w:cs="Calibri" w:eastAsia="Calibri" w:hAnsi="Calibri"/>
          <w:b/>
          <w:bCs/>
          <w:sz w:val="22"/>
          <w:szCs w:val="22"/>
        </w:rPr>
        <w:t xml:space="preserve">Version 3.6 (13 juillet 2026) — mise en concordance FINALE. </w:t>
      </w:r>
      <w:r>
        <w:rPr>
          <w:rFonts w:ascii="Calibri" w:cs="Calibri" w:eastAsia="Calibri" w:hAnsi="Calibri"/>
          <w:sz w:val="22"/>
          <w:szCs w:val="22"/>
        </w:rPr>
        <w:t xml:space="preserve">Amendements ratifiés et intégrés au corps du catalogue : R52 / V-18 (exclusion du contributeur à la validation finale), S-09 (versioning généralisé du référentiel), S-10 / S-10b (délai du visa conditionnel), R53 / C-01 à C-05 (concurrence optimiste), R54 / K-01 à K-05 (déclencheur du temps), R55 / SN-01 à SN-05 (snapshots de reprise), complément R14/V-15 (annulation → section En préparation). Plus aucun amendement en attente : catalogue papier ≡ catalogue exécutable. Le catalogue papier et le catalogue exécutable (moteur de référence) sont identiques : 80 scénarios, tous couverts par un test d'acceptance vert.</w:t>
      </w:r>
    </w:p>
    <w:p>
      <w:pPr>
        <w:spacing w:before="360" w:after="80"/>
      </w:pPr>
      <w:r>
        <w:rPr>
          <w:b/>
          <w:sz w:val="26"/>
          <w:szCs w:val="26"/>
        </w:rPr>
        <w:t xml:space="preserve">Bloc 8 — R56 : règles tenant additionnelles (RT-01 à RT-08)</w:t>
      </w:r>
    </w:p>
    <w:p>
      <w:pPr>
        <w:spacing w:before="120" w:after="80"/>
      </w:pPr>
      <w:r>
        <w:rPr/>
        <w:t xml:space="preserve">R56 — Règles tenant « durcir seulement » (ratifiée bi-moteur le 13 juillet 2026). Une banque peut ajouter des règles de contrôle additionnelles au moteur, mais jamais assouplir un invariant : la garde est default-deny sur un catalogue fermé de 5 types — minPreparateurs, sectionsPrealables, quatreYeuxRenforce, engagementSection, motifRefusMin. Chaque ajout, activation et désactivation est un événement journalisé (regle_tenant_ajoutee / activee / desactivee) portant source et justification. Implémentée et verte dans les DEUX moteurs (JS embarqué et Python de référence), parité vérifiée par les tests croisés — 17/17 suites.</w:t>
      </w:r>
    </w:p>
    <w:p>
      <w:pPr>
        <w:spacing w:before="200" w:after="40"/>
      </w:pPr>
      <w:r>
        <w:rPr>
          <w:b/>
        </w:rPr>
        <w:t xml:space="preserve">RT-01 — Default-deny</w:t>
      </w:r>
    </w:p>
    <w:p>
      <w:pPr>
        <w:ind w:left="426"/>
        <w:spacing w:before="0" w:after="0"/>
      </w:pPr>
      <w:r>
        <w:rPr>
          <w:sz w:val="18"/>
          <w:szCs w:val="18"/>
        </w:rPr>
        <w:t xml:space="preserve">Étant donné une règle tenant de type inconnu « assouplirQuatreYeux »</w:t>
      </w:r>
    </w:p>
    <w:p>
      <w:pPr>
        <w:ind w:left="426"/>
        <w:spacing w:before="0" w:after="0"/>
      </w:pPr>
      <w:r>
        <w:rPr>
          <w:sz w:val="18"/>
          <w:szCs w:val="18"/>
        </w:rPr>
        <w:t xml:space="preserve">Quand l'administrateur tente de l'ajouter</w:t>
      </w:r>
    </w:p>
    <w:p>
      <w:pPr>
        <w:ind w:left="426"/>
        <w:spacing w:before="0" w:after="0"/>
      </w:pPr>
      <w:r>
        <w:rPr>
          <w:sz w:val="18"/>
          <w:szCs w:val="18"/>
        </w:rPr>
        <w:t xml:space="preserve">Alors l'ajout est refusé AVANT tout effet (RegleTenantInvalide)</w:t>
      </w:r>
    </w:p>
    <w:p>
      <w:pPr>
        <w:ind w:left="426"/>
        <w:spacing w:before="0" w:after="0"/>
      </w:pPr>
      <w:r>
        <w:rPr>
          <w:sz w:val="18"/>
          <w:szCs w:val="18"/>
        </w:rPr>
        <w:t xml:space="preserve">Et aucun événement regle_tenant_ajoutee n'apparaît au journal</w:t>
      </w:r>
    </w:p>
    <w:p>
      <w:pPr>
        <w:spacing w:before="200" w:after="40"/>
      </w:pPr>
      <w:r>
        <w:rPr>
          <w:b/>
        </w:rPr>
        <w:t xml:space="preserve">RT-02 — Ajout journalisé</w:t>
      </w:r>
    </w:p>
    <w:p>
      <w:pPr>
        <w:ind w:left="426"/>
        <w:spacing w:before="0" w:after="0"/>
      </w:pPr>
      <w:r>
        <w:rPr>
          <w:sz w:val="18"/>
          <w:szCs w:val="18"/>
        </w:rPr>
        <w:t xml:space="preserve">Étant donné une règle valide minPreparateurs(n=2) avec source et justification</w:t>
      </w:r>
    </w:p>
    <w:p>
      <w:pPr>
        <w:ind w:left="426"/>
        <w:spacing w:before="0" w:after="0"/>
      </w:pPr>
      <w:r>
        <w:rPr>
          <w:sz w:val="18"/>
          <w:szCs w:val="18"/>
        </w:rPr>
        <w:t xml:space="preserve">Quand l'administrateur l'ajoute</w:t>
      </w:r>
    </w:p>
    <w:p>
      <w:pPr>
        <w:ind w:left="426"/>
        <w:spacing w:before="0" w:after="0"/>
      </w:pPr>
      <w:r>
        <w:rPr>
          <w:sz w:val="18"/>
          <w:szCs w:val="18"/>
        </w:rPr>
        <w:t xml:space="preserve">Alors un événement regle_tenant_ajoutee est journalisé avec l'id de la règle</w:t>
      </w:r>
    </w:p>
    <w:p>
      <w:pPr>
        <w:spacing w:before="200" w:after="40"/>
      </w:pPr>
      <w:r>
        <w:rPr>
          <w:b/>
        </w:rPr>
        <w:t xml:space="preserve">RT-03 — minPreparateurs</w:t>
      </w:r>
    </w:p>
    <w:p>
      <w:pPr>
        <w:ind w:left="426"/>
        <w:spacing w:before="0" w:after="0"/>
      </w:pPr>
      <w:r>
        <w:rPr>
          <w:sz w:val="18"/>
          <w:szCs w:val="18"/>
        </w:rPr>
        <w:t xml:space="preserve">Étant donné la règle minPreparateurs(n=2) active</w:t>
      </w:r>
    </w:p>
    <w:p>
      <w:pPr>
        <w:ind w:left="426"/>
        <w:spacing w:before="0" w:after="0"/>
      </w:pPr>
      <w:r>
        <w:rPr>
          <w:sz w:val="18"/>
          <w:szCs w:val="18"/>
        </w:rPr>
        <w:t xml:space="preserve">Quand le validateur vise une section préparée par un seul contributeur</w:t>
      </w:r>
    </w:p>
    <w:p>
      <w:pPr>
        <w:ind w:left="426"/>
        <w:spacing w:before="0" w:after="0"/>
      </w:pPr>
      <w:r>
        <w:rPr>
          <w:sz w:val="18"/>
          <w:szCs w:val="18"/>
        </w:rPr>
        <w:t xml:space="preserve">Alors le visa est bloqué (RegleTenantViolation)</w:t>
      </w:r>
    </w:p>
    <w:p>
      <w:pPr>
        <w:ind w:left="426"/>
        <w:spacing w:before="0" w:after="0"/>
      </w:pPr>
      <w:r>
        <w:rPr>
          <w:sz w:val="18"/>
          <w:szCs w:val="18"/>
        </w:rPr>
        <w:t xml:space="preserve">Et il passe dès qu'un deuxième contributeur distinct a participé</w:t>
      </w:r>
    </w:p>
    <w:p>
      <w:pPr>
        <w:spacing w:before="200" w:after="40"/>
      </w:pPr>
      <w:r>
        <w:rPr>
          <w:b/>
        </w:rPr>
        <w:t xml:space="preserve">RT-04 — sectionsPrealables</w:t>
      </w:r>
    </w:p>
    <w:p>
      <w:pPr>
        <w:ind w:left="426"/>
        <w:spacing w:before="0" w:after="0"/>
      </w:pPr>
      <w:r>
        <w:rPr>
          <w:sz w:val="18"/>
          <w:szCs w:val="18"/>
        </w:rPr>
        <w:t xml:space="preserve">Étant donné la règle « Fiscalité visable seulement après Identification »</w:t>
      </w:r>
    </w:p>
    <w:p>
      <w:pPr>
        <w:ind w:left="426"/>
        <w:spacing w:before="0" w:after="0"/>
      </w:pPr>
      <w:r>
        <w:rPr>
          <w:sz w:val="18"/>
          <w:szCs w:val="18"/>
        </w:rPr>
        <w:t xml:space="preserve">Quand le validateur tente de viser Fiscalité avant Identification</w:t>
      </w:r>
    </w:p>
    <w:p>
      <w:pPr>
        <w:ind w:left="426"/>
        <w:spacing w:before="0" w:after="0"/>
      </w:pPr>
      <w:r>
        <w:rPr>
          <w:sz w:val="18"/>
          <w:szCs w:val="18"/>
        </w:rPr>
        <w:t xml:space="preserve">Alors le visa est bloqué, puis accordé une fois Identification visée</w:t>
      </w:r>
    </w:p>
    <w:p>
      <w:pPr>
        <w:spacing w:before="200" w:after="40"/>
      </w:pPr>
      <w:r>
        <w:rPr>
          <w:b/>
        </w:rPr>
        <w:t xml:space="preserve">RT-05 — quatreYeuxRenforce</w:t>
      </w:r>
    </w:p>
    <w:p>
      <w:pPr>
        <w:ind w:left="426"/>
        <w:spacing w:before="0" w:after="0"/>
      </w:pPr>
      <w:r>
        <w:rPr>
          <w:sz w:val="18"/>
          <w:szCs w:val="18"/>
        </w:rPr>
        <w:t xml:space="preserve">Étant donné la règle quatreYeuxRenforce active</w:t>
      </w:r>
    </w:p>
    <w:p>
      <w:pPr>
        <w:ind w:left="426"/>
        <w:spacing w:before="0" w:after="0"/>
      </w:pPr>
      <w:r>
        <w:rPr>
          <w:sz w:val="18"/>
          <w:szCs w:val="18"/>
        </w:rPr>
        <w:t xml:space="preserve">Quand un acteur ayant contribué à N'IMPORTE QUELLE section du dossier tente un visa</w:t>
      </w:r>
    </w:p>
    <w:p>
      <w:pPr>
        <w:ind w:left="426"/>
        <w:spacing w:before="0" w:after="0"/>
      </w:pPr>
      <w:r>
        <w:rPr>
          <w:sz w:val="18"/>
          <w:szCs w:val="18"/>
        </w:rPr>
        <w:t xml:space="preserve">Alors le visa est bloqué — le 4-yeux section (R13) est durci au dossier entier</w:t>
      </w:r>
    </w:p>
    <w:p>
      <w:pPr>
        <w:spacing w:before="200" w:after="40"/>
      </w:pPr>
      <w:r>
        <w:rPr>
          <w:b/>
        </w:rPr>
        <w:t xml:space="preserve">RT-06 — engagementSection</w:t>
      </w:r>
    </w:p>
    <w:p>
      <w:pPr>
        <w:ind w:left="426"/>
        <w:spacing w:before="0" w:after="0"/>
      </w:pPr>
      <w:r>
        <w:rPr>
          <w:sz w:val="18"/>
          <w:szCs w:val="18"/>
        </w:rPr>
        <w:t xml:space="preserve">Étant donné la règle engagementSection(Fiscalité)</w:t>
      </w:r>
    </w:p>
    <w:p>
      <w:pPr>
        <w:ind w:left="426"/>
        <w:spacing w:before="0" w:after="0"/>
      </w:pPr>
      <w:r>
        <w:rPr>
          <w:sz w:val="18"/>
          <w:szCs w:val="18"/>
        </w:rPr>
        <w:t xml:space="preserve">Quand le validateur vise Fiscalité sans confirmer l'engagement</w:t>
      </w:r>
    </w:p>
    <w:p>
      <w:pPr>
        <w:ind w:left="426"/>
        <w:spacing w:before="0" w:after="0"/>
      </w:pPr>
      <w:r>
        <w:rPr>
          <w:sz w:val="18"/>
          <w:szCs w:val="18"/>
        </w:rPr>
        <w:t xml:space="preserve">Alors le visa est bloqué, et passe avec engagement=vrai (pop-up R14 étendu)</w:t>
      </w:r>
    </w:p>
    <w:p>
      <w:pPr>
        <w:spacing w:before="200" w:after="40"/>
      </w:pPr>
      <w:r>
        <w:rPr>
          <w:b/>
        </w:rPr>
        <w:t xml:space="preserve">RT-07 — motifRefusMin</w:t>
      </w:r>
    </w:p>
    <w:p>
      <w:pPr>
        <w:ind w:left="426"/>
        <w:spacing w:before="0" w:after="0"/>
      </w:pPr>
      <w:r>
        <w:rPr>
          <w:sz w:val="18"/>
          <w:szCs w:val="18"/>
        </w:rPr>
        <w:t xml:space="preserve">Étant donné la règle motifRefusMin(n=40)</w:t>
      </w:r>
    </w:p>
    <w:p>
      <w:pPr>
        <w:ind w:left="426"/>
        <w:spacing w:before="0" w:after="0"/>
      </w:pPr>
      <w:r>
        <w:rPr>
          <w:sz w:val="18"/>
          <w:szCs w:val="18"/>
        </w:rPr>
        <w:t xml:space="preserve">Quand un refus est motivé en moins de 40 caractères</w:t>
      </w:r>
    </w:p>
    <w:p>
      <w:pPr>
        <w:ind w:left="426"/>
        <w:spacing w:before="0" w:after="0"/>
      </w:pPr>
      <w:r>
        <w:rPr>
          <w:sz w:val="18"/>
          <w:szCs w:val="18"/>
        </w:rPr>
        <w:t xml:space="preserve">Alors le refus est bloqué (durcit R7) — la motivation vide reste l'invariant R7</w:t>
      </w:r>
    </w:p>
    <w:p>
      <w:pPr>
        <w:spacing w:before="200" w:after="40"/>
      </w:pPr>
      <w:r>
        <w:rPr>
          <w:b/>
        </w:rPr>
        <w:t xml:space="preserve">RT-08 — Désactivation tracée</w:t>
      </w:r>
    </w:p>
    <w:p>
      <w:pPr>
        <w:ind w:left="426"/>
        <w:spacing w:before="0" w:after="0"/>
      </w:pPr>
      <w:r>
        <w:rPr>
          <w:sz w:val="18"/>
          <w:szCs w:val="18"/>
        </w:rPr>
        <w:t xml:space="preserve">Étant donné une règle tenant désactivée (événement regle_tenant_desactivee)</w:t>
      </w:r>
    </w:p>
    <w:p>
      <w:pPr>
        <w:ind w:left="426"/>
        <w:spacing w:before="0" w:after="0"/>
      </w:pPr>
      <w:r>
        <w:rPr>
          <w:sz w:val="18"/>
          <w:szCs w:val="18"/>
        </w:rPr>
        <w:t xml:space="preserve">Quand le validateur vise la section</w:t>
      </w:r>
    </w:p>
    <w:p>
      <w:pPr>
        <w:ind w:left="426"/>
        <w:spacing w:before="0" w:after="0"/>
      </w:pPr>
      <w:r>
        <w:rPr>
          <w:sz w:val="18"/>
          <w:szCs w:val="18"/>
        </w:rPr>
        <w:t xml:space="preserve">Alors la règle est inerte et le visa passe</w:t>
      </w:r>
    </w:p>
    <w:p>
      <w:pPr>
        <w:ind w:left="426"/>
        <w:spacing w:before="0" w:after="0"/>
      </w:pPr>
      <w:r>
        <w:rPr>
          <w:sz w:val="18"/>
          <w:szCs w:val="18"/>
        </w:rPr>
        <w:t xml:space="preserve">Et sa réactivation (événement regle_tenant_activee) rétablit le contrôle</w:t>
      </w:r>
    </w:p>
    <w:p>
      <w:pPr>
        <w:spacing w:before="120" w:after="200"/>
      </w:pPr>
      <w:r>
        <w:rPr/>
        <w:t xml:space="preserve">Invariant transverse : les règles tenant s'AJOUTENT aux invariants R1–R55 — aucune ne peut les court-circuiter. Toute violation lève une erreur typée et laisse le dossier inchangé (pas d'effet de bord, R49 préservée).</w:t>
      </w:r>
    </w:p>
    <w:p>
      <w:pPr>
        <w:spacing w:before="360" w:after="80"/>
      </w:pPr>
      <w:r>
        <w:rPr>
          <w:b/>
          <w:sz w:val="26"/>
          <w:szCs w:val="26"/>
        </w:rPr>
        <w:t xml:space="preserve">Bloc 9 — R57 : récusation · R62 : export d'audit scellé (RC-01..05 · EX-01..04)</w:t>
      </w:r>
    </w:p>
    <w:p>
      <w:pPr>
        <w:spacing w:before="120" w:after="80"/>
      </w:pPr>
      <w:r>
        <w:rPr/>
        <w:t xml:space="preserve">R57 — Récusation (ratifiée bi-moteur le 13 juillet 2026). Le validateur assigné à un visa peut se récuser pour conflit d'intérêts : motivation obligatoire (même exigence que R7), événement recusation_prononcee tracé. Le récusé ne peut plus JAMAIS viser cette section, même après réassignation R11 — toute tentative est journalisée et refusée. Une récusation sur la validation finale déclenche une escalade au process owner (tâche + événement).</w:t>
      </w:r>
    </w:p>
    <w:p>
      <w:pPr>
        <w:spacing w:before="120" w:after="80"/>
      </w:pPr>
      <w:r>
        <w:rPr/>
        <w:t xml:space="preserve">R62 — Export d'audit scellé (ratifiée bi-moteur le 13 juillet 2026). Une plage du journal s'exporte avec un scellé d'intégrité : hash SHA-256 chaîné sur la forme canonique de chaque événement. L'export est lui-même un événement journalisé (export_scelle_emis : plage, scellé, émetteur) — postérieur au scellé pour ne pas s'inclure. La vérification est possible hors ligne ; toute altération casse le scellé ; deux exports de la même plage portent le même scellé (déterminisme). Le moteur JS embarqué calcule le même SHA-256 que la référence (parité bit-à-bit vérifiée).</w:t>
      </w:r>
    </w:p>
    <w:p>
      <w:pPr>
        <w:spacing w:before="200" w:after="40"/>
      </w:pPr>
      <w:r>
        <w:rPr>
          <w:b/>
        </w:rPr>
        <w:t xml:space="preserve">RC-01 — Récusation tracée</w:t>
      </w:r>
    </w:p>
    <w:p>
      <w:pPr>
        <w:ind w:left="426"/>
        <w:spacing w:before="0" w:after="0"/>
      </w:pPr>
      <w:r>
        <w:rPr>
          <w:sz w:val="18"/>
          <w:szCs w:val="18"/>
        </w:rPr>
        <w:t xml:space="preserve">Étant donné un visa en attente assigné à V1</w:t>
      </w:r>
    </w:p>
    <w:p>
      <w:pPr>
        <w:ind w:left="426"/>
        <w:spacing w:before="0" w:after="0"/>
      </w:pPr>
      <w:r>
        <w:rPr>
          <w:sz w:val="18"/>
          <w:szCs w:val="18"/>
        </w:rPr>
        <w:t xml:space="preserve">Quand V1 se récuse avec une motivation (conflit d'intérêts)</w:t>
      </w:r>
    </w:p>
    <w:p>
      <w:pPr>
        <w:ind w:left="426"/>
        <w:spacing w:before="0" w:after="0"/>
      </w:pPr>
      <w:r>
        <w:rPr>
          <w:sz w:val="18"/>
          <w:szCs w:val="18"/>
        </w:rPr>
        <w:t xml:space="preserve">Alors l'événement recusation_prononcee est journalisé et le visa reste en attente de réassignation</w:t>
      </w:r>
    </w:p>
    <w:p>
      <w:pPr>
        <w:spacing w:before="200" w:after="40"/>
      </w:pPr>
      <w:r>
        <w:rPr>
          <w:b/>
        </w:rPr>
        <w:t xml:space="preserve">RC-02 — Motivation obligatoire</w:t>
      </w:r>
    </w:p>
    <w:p>
      <w:pPr>
        <w:ind w:left="426"/>
        <w:spacing w:before="0" w:after="0"/>
      </w:pPr>
      <w:r>
        <w:rPr>
          <w:sz w:val="18"/>
          <w:szCs w:val="18"/>
        </w:rPr>
        <w:t xml:space="preserve">Quand V1 tente de se récuser sans motivation</w:t>
      </w:r>
    </w:p>
    <w:p>
      <w:pPr>
        <w:ind w:left="426"/>
        <w:spacing w:before="0" w:after="0"/>
      </w:pPr>
      <w:r>
        <w:rPr>
          <w:sz w:val="18"/>
          <w:szCs w:val="18"/>
        </w:rPr>
        <w:t xml:space="preserve">Alors la récusation est refusée (MotivationRequired, même exigence que R7)</w:t>
      </w:r>
    </w:p>
    <w:p>
      <w:pPr>
        <w:spacing w:before="200" w:after="40"/>
      </w:pPr>
      <w:r>
        <w:rPr>
          <w:b/>
        </w:rPr>
        <w:t xml:space="preserve">RC-03 — Exclusion définitive</w:t>
      </w:r>
    </w:p>
    <w:p>
      <w:pPr>
        <w:ind w:left="426"/>
        <w:spacing w:before="0" w:after="0"/>
      </w:pPr>
      <w:r>
        <w:rPr>
          <w:sz w:val="18"/>
          <w:szCs w:val="18"/>
        </w:rPr>
        <w:t xml:space="preserve">Étant donné V1 récusé puis la section réassignée à V3 (R11)</w:t>
      </w:r>
    </w:p>
    <w:p>
      <w:pPr>
        <w:ind w:left="426"/>
        <w:spacing w:before="0" w:after="0"/>
      </w:pPr>
      <w:r>
        <w:rPr>
          <w:sz w:val="18"/>
          <w:szCs w:val="18"/>
        </w:rPr>
        <w:t xml:space="preserve">Quand V1 tente malgré tout de viser</w:t>
      </w:r>
    </w:p>
    <w:p>
      <w:pPr>
        <w:ind w:left="426"/>
        <w:spacing w:before="0" w:after="0"/>
      </w:pPr>
      <w:r>
        <w:rPr>
          <w:sz w:val="18"/>
          <w:szCs w:val="18"/>
        </w:rPr>
        <w:t xml:space="preserve">Alors le visa est refusé et la tentative journalisée ; V3, lui, vise normalement</w:t>
      </w:r>
    </w:p>
    <w:p>
      <w:pPr>
        <w:spacing w:before="200" w:after="40"/>
      </w:pPr>
      <w:r>
        <w:rPr>
          <w:b/>
        </w:rPr>
        <w:t xml:space="preserve">RC-04 — Seul l'assigné se récuse</w:t>
      </w:r>
    </w:p>
    <w:p>
      <w:pPr>
        <w:ind w:left="426"/>
        <w:spacing w:before="0" w:after="0"/>
      </w:pPr>
      <w:r>
        <w:rPr>
          <w:sz w:val="18"/>
          <w:szCs w:val="18"/>
        </w:rPr>
        <w:t xml:space="preserve">Quand un tiers non assigné tente de « se récuser »</w:t>
      </w:r>
    </w:p>
    <w:p>
      <w:pPr>
        <w:ind w:left="426"/>
        <w:spacing w:before="0" w:after="0"/>
      </w:pPr>
      <w:r>
        <w:rPr>
          <w:sz w:val="18"/>
          <w:szCs w:val="18"/>
        </w:rPr>
        <w:t xml:space="preserve">Alors l'action est refusée (NotAuthorized) ; sans visa en attente, la récusation est impossible</w:t>
      </w:r>
    </w:p>
    <w:p>
      <w:pPr>
        <w:spacing w:before="200" w:after="40"/>
      </w:pPr>
      <w:r>
        <w:rPr>
          <w:b/>
        </w:rPr>
        <w:t xml:space="preserve">RC-05 — Escalade sur la finale</w:t>
      </w:r>
    </w:p>
    <w:p>
      <w:pPr>
        <w:ind w:left="426"/>
        <w:spacing w:before="0" w:after="0"/>
      </w:pPr>
      <w:r>
        <w:rPr>
          <w:sz w:val="18"/>
          <w:szCs w:val="18"/>
        </w:rPr>
        <w:t xml:space="preserve">Étant donné toutes les sections visées et la finale soumise à VF</w:t>
      </w:r>
    </w:p>
    <w:p>
      <w:pPr>
        <w:ind w:left="426"/>
        <w:spacing w:before="0" w:after="0"/>
      </w:pPr>
      <w:r>
        <w:rPr>
          <w:sz w:val="18"/>
          <w:szCs w:val="18"/>
        </w:rPr>
        <w:t xml:space="preserve">Quand VF se récuse</w:t>
      </w:r>
    </w:p>
    <w:p>
      <w:pPr>
        <w:ind w:left="426"/>
        <w:spacing w:before="0" w:after="0"/>
      </w:pPr>
      <w:r>
        <w:rPr>
          <w:sz w:val="18"/>
          <w:szCs w:val="18"/>
        </w:rPr>
        <w:t xml:space="preserve">Alors une tâche d'escalade est créée pour le process owner et l'événement escalade_emise journalisé</w:t>
      </w:r>
    </w:p>
    <w:p>
      <w:pPr>
        <w:spacing w:before="200" w:after="40"/>
      </w:pPr>
      <w:r>
        <w:rPr>
          <w:b/>
        </w:rPr>
        <w:t xml:space="preserve">EX-01 — Export journalisé</w:t>
      </w:r>
    </w:p>
    <w:p>
      <w:pPr>
        <w:ind w:left="426"/>
        <w:spacing w:before="0" w:after="0"/>
      </w:pPr>
      <w:r>
        <w:rPr>
          <w:sz w:val="18"/>
          <w:szCs w:val="18"/>
        </w:rPr>
        <w:t xml:space="preserve">Quand l'auditeur exporte le journal</w:t>
      </w:r>
    </w:p>
    <w:p>
      <w:pPr>
        <w:ind w:left="426"/>
        <w:spacing w:before="0" w:after="0"/>
      </w:pPr>
      <w:r>
        <w:rPr>
          <w:sz w:val="18"/>
          <w:szCs w:val="18"/>
        </w:rPr>
        <w:t xml:space="preserve">Alors l'export contient la plage, un scellé de 64 hex, et l'événement export_scelle_emis est journalisé</w:t>
      </w:r>
    </w:p>
    <w:p>
      <w:pPr>
        <w:spacing w:before="200" w:after="40"/>
      </w:pPr>
      <w:r>
        <w:rPr>
          <w:b/>
        </w:rPr>
        <w:t xml:space="preserve">EX-02 — Vérification</w:t>
      </w:r>
    </w:p>
    <w:p>
      <w:pPr>
        <w:ind w:left="426"/>
        <w:spacing w:before="0" w:after="0"/>
      </w:pPr>
      <w:r>
        <w:rPr>
          <w:sz w:val="18"/>
          <w:szCs w:val="18"/>
        </w:rPr>
        <w:t xml:space="preserve">Étant donné un export intact</w:t>
      </w:r>
    </w:p>
    <w:p>
      <w:pPr>
        <w:ind w:left="426"/>
        <w:spacing w:before="0" w:after="0"/>
      </w:pPr>
      <w:r>
        <w:rPr>
          <w:sz w:val="18"/>
          <w:szCs w:val="18"/>
        </w:rPr>
        <w:t xml:space="preserve">Alors sa vérification hors ligne réussit</w:t>
      </w:r>
    </w:p>
    <w:p>
      <w:pPr>
        <w:spacing w:before="200" w:after="40"/>
      </w:pPr>
      <w:r>
        <w:rPr>
          <w:b/>
        </w:rPr>
        <w:t xml:space="preserve">EX-03 — Altération détectée</w:t>
      </w:r>
    </w:p>
    <w:p>
      <w:pPr>
        <w:ind w:left="426"/>
        <w:spacing w:before="0" w:after="0"/>
      </w:pPr>
      <w:r>
        <w:rPr>
          <w:sz w:val="18"/>
          <w:szCs w:val="18"/>
        </w:rPr>
        <w:t xml:space="preserve">Quand un seul événement de l'export est altéré</w:t>
      </w:r>
    </w:p>
    <w:p>
      <w:pPr>
        <w:ind w:left="426"/>
        <w:spacing w:before="0" w:after="0"/>
      </w:pPr>
      <w:r>
        <w:rPr>
          <w:sz w:val="18"/>
          <w:szCs w:val="18"/>
        </w:rPr>
        <w:t xml:space="preserve">Alors la vérification du scellé échoue</w:t>
      </w:r>
    </w:p>
    <w:p>
      <w:pPr>
        <w:spacing w:before="200" w:after="40"/>
      </w:pPr>
      <w:r>
        <w:rPr>
          <w:b/>
        </w:rPr>
        <w:t xml:space="preserve">EX-04 — Déterminisme</w:t>
      </w:r>
    </w:p>
    <w:p>
      <w:pPr>
        <w:ind w:left="426"/>
        <w:spacing w:before="0" w:after="0"/>
      </w:pPr>
      <w:r>
        <w:rPr>
          <w:sz w:val="18"/>
          <w:szCs w:val="18"/>
        </w:rPr>
        <w:t xml:space="preserve">Quand la même plage est exportée deux fois</w:t>
      </w:r>
    </w:p>
    <w:p>
      <w:pPr>
        <w:ind w:left="426"/>
        <w:spacing w:before="0" w:after="0"/>
      </w:pPr>
      <w:r>
        <w:rPr>
          <w:sz w:val="18"/>
          <w:szCs w:val="18"/>
        </w:rPr>
        <w:t xml:space="preserve">Alors les deux exports portent exactement le même scellé</w:t>
      </w:r>
    </w:p>
    <w:p>
      <w:pPr>
        <w:spacing w:before="120" w:after="200"/>
      </w:pPr>
      <w:r>
        <w:rPr/>
        <w:t xml:space="preserve">Statut : R57 et R62 ratifiées et vertes dans les deux moteurs (Python de référence 18/18 suites ; JS embarqué avec SHA-256 pur JS). R58–R61 demeurent des propositions ouvertes au catalogue, numérotation réservée.</w:t>
      </w:r>
    </w:p>
    <w:p>
      <w:pPr>
        <w:spacing w:before="360" w:after="80"/>
      </w:pPr>
      <w:r>
        <w:rPr>
          <w:b/>
          <w:sz w:val="26"/>
          <w:szCs w:val="26"/>
        </w:rPr>
        <w:t xml:space="preserve">Bloc 10 — R58 habilitation · R59 double visa · R60 fraîcheur · R61 anti-goulot (H · DV · F · G)</w:t>
      </w:r>
    </w:p>
    <w:p>
      <w:pPr>
        <w:spacing w:before="120" w:after="80"/>
      </w:pPr>
      <w:r>
        <w:rPr/>
        <w:t xml:space="preserve">Ratifiées bi-moteur le 13 juillet 2026 — avec ce bloc, le catalogue R1–R62 est intégralement ratifié. Trois nouveaux paramètres tenant rejoignent le questionnaire R-Q : R59_score_seuil, R60_fraicheur_jours, R61_seuil_file (valeur nulle = règle inactive).</w:t>
      </w:r>
    </w:p>
    <w:p>
      <w:pPr>
        <w:spacing w:before="120" w:after="80"/>
      </w:pPr>
      <w:r>
        <w:rPr/>
        <w:t xml:space="preserve">R58 — Habilitation du signataire. Le visa exige une habilitation/formation en cours de validité. Expirée : refus tracé (tentative journalisée) et tâche de renouvellement créée ; une dérogation R4 explicite et tracée reste possible. Le renouvellement ré-ouvre le droit de viser.</w:t>
      </w:r>
    </w:p>
    <w:p>
      <w:pPr>
        <w:spacing w:before="120" w:after="80"/>
      </w:pPr>
      <w:r>
        <w:rPr/>
        <w:t xml:space="preserve">R59 — Double visa au-delà du seuil. Lorsque le score de risque du dossier atteint le seuil tenant, la validation finale exige DEUX signataires distincts, chacun confirmant son engagement R14. Le premier visa laisse la finale en attente ; R2 (validateur nommé) ne s'applique qu'au premier signataire, le second est un tiers habilité distinct.</w:t>
      </w:r>
    </w:p>
    <w:p>
      <w:pPr>
        <w:spacing w:before="120" w:after="80"/>
      </w:pPr>
      <w:r>
        <w:rPr/>
        <w:t xml:space="preserve">R60 — Fraîcheur des sections. À la validation finale, toute section visée il y a plus de N jours exige une re-confirmation légère de SON validateur (tâches créées, événement journalisé). Le refus de re-confirmer, motivé, invalide la section de façon ciblée (mécanique R10).</w:t>
      </w:r>
    </w:p>
    <w:p>
      <w:pPr>
        <w:spacing w:before="120" w:after="80"/>
      </w:pPr>
      <w:r>
        <w:rPr/>
        <w:t xml:space="preserve">R61 — Anti-goulot mesuré. Au-delà de N visas en attente chez un même validateur, le système SIGNALE le goulot et PROPOSE le relais R4 déclaré — il n'impose jamais (R39/R40). Le routage effectif vers le relais est une décision humaine, tracée avec ancien et nouveau destinataire.</w:t>
      </w:r>
    </w:p>
    <w:p>
      <w:pPr>
        <w:spacing w:before="200" w:after="40"/>
      </w:pPr>
      <w:r>
        <w:rPr>
          <w:b/>
        </w:rPr>
        <w:t xml:space="preserve">H-01 — Habilitation expirée</w:t>
      </w:r>
    </w:p>
    <w:p>
      <w:pPr>
        <w:ind w:left="426"/>
        <w:spacing w:before="0" w:after="0"/>
      </w:pPr>
      <w:r>
        <w:rPr>
          <w:sz w:val="18"/>
          <w:szCs w:val="18"/>
        </w:rPr>
        <w:t xml:space="preserve">Étant donné l'habilitation de V1 expirée</w:t>
      </w:r>
    </w:p>
    <w:p>
      <w:pPr>
        <w:ind w:left="426"/>
        <w:spacing w:before="0" w:after="0"/>
      </w:pPr>
      <w:r>
        <w:rPr>
          <w:sz w:val="18"/>
          <w:szCs w:val="18"/>
        </w:rPr>
        <w:t xml:space="preserve">Quand V1 tente de viser</w:t>
      </w:r>
    </w:p>
    <w:p>
      <w:pPr>
        <w:ind w:left="426"/>
        <w:spacing w:before="0" w:after="0"/>
      </w:pPr>
      <w:r>
        <w:rPr>
          <w:sz w:val="18"/>
          <w:szCs w:val="18"/>
        </w:rPr>
        <w:t xml:space="preserve">Alors le visa est refusé, la tentative journalisée et une tâche de renouvellement créée</w:t>
      </w:r>
    </w:p>
    <w:p>
      <w:pPr>
        <w:spacing w:before="200" w:after="40"/>
      </w:pPr>
      <w:r>
        <w:rPr>
          <w:b/>
        </w:rPr>
        <w:t xml:space="preserve">H-02 — Renouvellement</w:t>
      </w:r>
    </w:p>
    <w:p>
      <w:pPr>
        <w:ind w:left="426"/>
        <w:spacing w:before="0" w:after="0"/>
      </w:pPr>
      <w:r>
        <w:rPr>
          <w:sz w:val="18"/>
          <w:szCs w:val="18"/>
        </w:rPr>
        <w:t xml:space="preserve">Étant donné l'habilitation de V1 renouvelée</w:t>
      </w:r>
    </w:p>
    <w:p>
      <w:pPr>
        <w:ind w:left="426"/>
        <w:spacing w:before="0" w:after="0"/>
      </w:pPr>
      <w:r>
        <w:rPr>
          <w:sz w:val="18"/>
          <w:szCs w:val="18"/>
        </w:rPr>
        <w:t xml:space="preserve">Quand V1 vise à nouveau</w:t>
      </w:r>
    </w:p>
    <w:p>
      <w:pPr>
        <w:ind w:left="426"/>
        <w:spacing w:before="0" w:after="0"/>
      </w:pPr>
      <w:r>
        <w:rPr>
          <w:sz w:val="18"/>
          <w:szCs w:val="18"/>
        </w:rPr>
        <w:t xml:space="preserve">Alors le visa est accordé</w:t>
      </w:r>
    </w:p>
    <w:p>
      <w:pPr>
        <w:spacing w:before="200" w:after="40"/>
      </w:pPr>
      <w:r>
        <w:rPr>
          <w:b/>
        </w:rPr>
        <w:t xml:space="preserve">H-03 — Dérogation tracée</w:t>
      </w:r>
    </w:p>
    <w:p>
      <w:pPr>
        <w:ind w:left="426"/>
        <w:spacing w:before="0" w:after="0"/>
      </w:pPr>
      <w:r>
        <w:rPr>
          <w:sz w:val="18"/>
          <w:szCs w:val="18"/>
        </w:rPr>
        <w:t xml:space="preserve">Étant donné l'habilitation expirée et une dérogation R4 explicite</w:t>
      </w:r>
    </w:p>
    <w:p>
      <w:pPr>
        <w:ind w:left="426"/>
        <w:spacing w:before="0" w:after="0"/>
      </w:pPr>
      <w:r>
        <w:rPr>
          <w:sz w:val="18"/>
          <w:szCs w:val="18"/>
        </w:rPr>
        <w:t xml:space="preserve">Quand V1 vise sous dérogation</w:t>
      </w:r>
    </w:p>
    <w:p>
      <w:pPr>
        <w:ind w:left="426"/>
        <w:spacing w:before="0" w:after="0"/>
      </w:pPr>
      <w:r>
        <w:rPr>
          <w:sz w:val="18"/>
          <w:szCs w:val="18"/>
        </w:rPr>
        <w:t xml:space="preserve">Alors le visa passe et la dérogation est journalisée avec son motif R58</w:t>
      </w:r>
    </w:p>
    <w:p>
      <w:pPr>
        <w:spacing w:before="200" w:after="40"/>
      </w:pPr>
      <w:r>
        <w:rPr>
          <w:b/>
        </w:rPr>
        <w:t xml:space="preserve">DV-01/DV-02 — Deux signataires distincts</w:t>
      </w:r>
    </w:p>
    <w:p>
      <w:pPr>
        <w:ind w:left="426"/>
        <w:spacing w:before="0" w:after="0"/>
      </w:pPr>
      <w:r>
        <w:rPr>
          <w:sz w:val="18"/>
          <w:szCs w:val="18"/>
        </w:rPr>
        <w:t xml:space="preserve">Étant donné un score de risque ≥ seuil tenant</w:t>
      </w:r>
    </w:p>
    <w:p>
      <w:pPr>
        <w:ind w:left="426"/>
        <w:spacing w:before="0" w:after="0"/>
      </w:pPr>
      <w:r>
        <w:rPr>
          <w:sz w:val="18"/>
          <w:szCs w:val="18"/>
        </w:rPr>
        <w:t xml:space="preserve">Quand VF appose le premier visa final (engagement R14)</w:t>
      </w:r>
    </w:p>
    <w:p>
      <w:pPr>
        <w:ind w:left="426"/>
        <w:spacing w:before="0" w:after="0"/>
      </w:pPr>
      <w:r>
        <w:rPr>
          <w:sz w:val="18"/>
          <w:szCs w:val="18"/>
        </w:rPr>
        <w:t xml:space="preserve">Alors la finale RESTE en attente du second signataire</w:t>
      </w:r>
    </w:p>
    <w:p>
      <w:pPr>
        <w:ind w:left="426"/>
        <w:spacing w:before="0" w:after="0"/>
      </w:pPr>
      <w:r>
        <w:rPr>
          <w:sz w:val="18"/>
          <w:szCs w:val="18"/>
        </w:rPr>
        <w:t xml:space="preserve">Et le même VF est refusé ; un second signataire distinct, avec son engagement, accorde la finale</w:t>
      </w:r>
    </w:p>
    <w:p>
      <w:pPr>
        <w:spacing w:before="200" w:after="40"/>
      </w:pPr>
      <w:r>
        <w:rPr>
          <w:b/>
        </w:rPr>
        <w:t xml:space="preserve">DV-03 — Sous le seuil</w:t>
      </w:r>
    </w:p>
    <w:p>
      <w:pPr>
        <w:ind w:left="426"/>
        <w:spacing w:before="0" w:after="0"/>
      </w:pPr>
      <w:r>
        <w:rPr>
          <w:sz w:val="18"/>
          <w:szCs w:val="18"/>
        </w:rPr>
        <w:t xml:space="preserve">Étant donné un score de risque &lt; seuil</w:t>
      </w:r>
    </w:p>
    <w:p>
      <w:pPr>
        <w:ind w:left="426"/>
        <w:spacing w:before="0" w:after="0"/>
      </w:pPr>
      <w:r>
        <w:rPr>
          <w:sz w:val="18"/>
          <w:szCs w:val="18"/>
        </w:rPr>
        <w:t xml:space="preserve">Alors la validation finale suit le régime normal à UN signataire</w:t>
      </w:r>
    </w:p>
    <w:p>
      <w:pPr>
        <w:spacing w:before="200" w:after="40"/>
      </w:pPr>
      <w:r>
        <w:rPr>
          <w:b/>
        </w:rPr>
        <w:t xml:space="preserve">F-01 — Sections fraîches</w:t>
      </w:r>
    </w:p>
    <w:p>
      <w:pPr>
        <w:ind w:left="426"/>
        <w:spacing w:before="0" w:after="0"/>
      </w:pPr>
      <w:r>
        <w:rPr>
          <w:sz w:val="18"/>
          <w:szCs w:val="18"/>
        </w:rPr>
        <w:t xml:space="preserve">Étant donné des sections visées récemment</w:t>
      </w:r>
    </w:p>
    <w:p>
      <w:pPr>
        <w:ind w:left="426"/>
        <w:spacing w:before="0" w:after="0"/>
      </w:pPr>
      <w:r>
        <w:rPr>
          <w:sz w:val="18"/>
          <w:szCs w:val="18"/>
        </w:rPr>
        <w:t xml:space="preserve">Quand la finale est visée</w:t>
      </w:r>
    </w:p>
    <w:p>
      <w:pPr>
        <w:ind w:left="426"/>
        <w:spacing w:before="0" w:after="0"/>
      </w:pPr>
      <w:r>
        <w:rPr>
          <w:sz w:val="18"/>
          <w:szCs w:val="18"/>
        </w:rPr>
        <w:t xml:space="preserve">Alors aucun contrôle R60 ne s'oppose</w:t>
      </w:r>
    </w:p>
    <w:p>
      <w:pPr>
        <w:spacing w:before="200" w:after="40"/>
      </w:pPr>
      <w:r>
        <w:rPr>
          <w:b/>
        </w:rPr>
        <w:t xml:space="preserve">F-02 — Re-confirmation exigée</w:t>
      </w:r>
    </w:p>
    <w:p>
      <w:pPr>
        <w:ind w:left="426"/>
        <w:spacing w:before="0" w:after="0"/>
      </w:pPr>
      <w:r>
        <w:rPr>
          <w:sz w:val="18"/>
          <w:szCs w:val="18"/>
        </w:rPr>
        <w:t xml:space="preserve">Étant donné une section visée il y a plus de N jours</w:t>
      </w:r>
    </w:p>
    <w:p>
      <w:pPr>
        <w:ind w:left="426"/>
        <w:spacing w:before="0" w:after="0"/>
      </w:pPr>
      <w:r>
        <w:rPr>
          <w:sz w:val="18"/>
          <w:szCs w:val="18"/>
        </w:rPr>
        <w:t xml:space="preserve">Quand la finale est tentée</w:t>
      </w:r>
    </w:p>
    <w:p>
      <w:pPr>
        <w:ind w:left="426"/>
        <w:spacing w:before="0" w:after="0"/>
      </w:pPr>
      <w:r>
        <w:rPr>
          <w:sz w:val="18"/>
          <w:szCs w:val="18"/>
        </w:rPr>
        <w:t xml:space="preserve">Alors elle est bloquée, tâches de re-confirmation créées ;</w:t>
      </w:r>
    </w:p>
    <w:p>
      <w:pPr>
        <w:ind w:left="426"/>
        <w:spacing w:before="0" w:after="0"/>
      </w:pPr>
      <w:r>
        <w:rPr>
          <w:sz w:val="18"/>
          <w:szCs w:val="18"/>
        </w:rPr>
        <w:t xml:space="preserve">la re-confirmation par le validateur de la section débloque la finale</w:t>
      </w:r>
    </w:p>
    <w:p>
      <w:pPr>
        <w:spacing w:before="200" w:after="40"/>
      </w:pPr>
      <w:r>
        <w:rPr>
          <w:b/>
        </w:rPr>
        <w:t xml:space="preserve">F-03 — Refus motivé = invalidation ciblée</w:t>
      </w:r>
    </w:p>
    <w:p>
      <w:pPr>
        <w:ind w:left="426"/>
        <w:spacing w:before="0" w:after="0"/>
      </w:pPr>
      <w:r>
        <w:rPr>
          <w:sz w:val="18"/>
          <w:szCs w:val="18"/>
        </w:rPr>
        <w:t xml:space="preserve">Quand le validateur refuse de re-confirmer avec motivation</w:t>
      </w:r>
    </w:p>
    <w:p>
      <w:pPr>
        <w:ind w:left="426"/>
        <w:spacing w:before="0" w:after="0"/>
      </w:pPr>
      <w:r>
        <w:rPr>
          <w:sz w:val="18"/>
          <w:szCs w:val="18"/>
        </w:rPr>
        <w:t xml:space="preserve">Alors la section est invalidée (mécanique R10) et retourne en préparation</w:t>
      </w:r>
    </w:p>
    <w:p>
      <w:pPr>
        <w:spacing w:before="200" w:after="40"/>
      </w:pPr>
      <w:r>
        <w:rPr>
          <w:b/>
        </w:rPr>
        <w:t xml:space="preserve">G-01 — Signal et proposition</w:t>
      </w:r>
    </w:p>
    <w:p>
      <w:pPr>
        <w:ind w:left="426"/>
        <w:spacing w:before="0" w:after="0"/>
      </w:pPr>
      <w:r>
        <w:rPr>
          <w:sz w:val="18"/>
          <w:szCs w:val="18"/>
        </w:rPr>
        <w:t xml:space="preserve">Étant donné plus de N visas en attente chez V1</w:t>
      </w:r>
    </w:p>
    <w:p>
      <w:pPr>
        <w:ind w:left="426"/>
        <w:spacing w:before="0" w:after="0"/>
      </w:pPr>
      <w:r>
        <w:rPr>
          <w:sz w:val="18"/>
          <w:szCs w:val="18"/>
        </w:rPr>
        <w:t xml:space="preserve">Quand une nouvelle section lui est soumise</w:t>
      </w:r>
    </w:p>
    <w:p>
      <w:pPr>
        <w:ind w:left="426"/>
        <w:spacing w:before="0" w:after="0"/>
      </w:pPr>
      <w:r>
        <w:rPr>
          <w:sz w:val="18"/>
          <w:szCs w:val="18"/>
        </w:rPr>
        <w:t xml:space="preserve">Alors goulot_signale est journalisé et le relais R4 est proposé</w:t>
      </w:r>
    </w:p>
    <w:p>
      <w:pPr>
        <w:spacing w:before="200" w:after="40"/>
      </w:pPr>
      <w:r>
        <w:rPr>
          <w:b/>
        </w:rPr>
        <w:t xml:space="preserve">G-02 — Rien n'est forcé</w:t>
      </w:r>
    </w:p>
    <w:p>
      <w:pPr>
        <w:ind w:left="426"/>
        <w:spacing w:before="0" w:after="0"/>
      </w:pPr>
      <w:r>
        <w:rPr>
          <w:sz w:val="18"/>
          <w:szCs w:val="18"/>
        </w:rPr>
        <w:t xml:space="preserve">Alors le visa reste assigné au validateur titulaire — la proposition n'impose rien (R39/R40)</w:t>
      </w:r>
    </w:p>
    <w:p>
      <w:pPr>
        <w:spacing w:before="200" w:after="40"/>
      </w:pPr>
      <w:r>
        <w:rPr>
          <w:b/>
        </w:rPr>
        <w:t xml:space="preserve">G-03 — Décision tracée</w:t>
      </w:r>
    </w:p>
    <w:p>
      <w:pPr>
        <w:ind w:left="426"/>
        <w:spacing w:before="0" w:after="0"/>
      </w:pPr>
      <w:r>
        <w:rPr>
          <w:sz w:val="18"/>
          <w:szCs w:val="18"/>
        </w:rPr>
        <w:t xml:space="preserve">Quand le process owner accepte le routage</w:t>
      </w:r>
    </w:p>
    <w:p>
      <w:pPr>
        <w:ind w:left="426"/>
        <w:spacing w:before="0" w:after="0"/>
      </w:pPr>
      <w:r>
        <w:rPr>
          <w:sz w:val="18"/>
          <w:szCs w:val="18"/>
        </w:rPr>
        <w:t xml:space="preserve">Alors le visa est routé vers le relais et la décision journalisée (ancien → relais)</w:t>
      </w:r>
    </w:p>
    <w:p>
      <w:pPr>
        <w:spacing w:before="120" w:after="200"/>
      </w:pPr>
      <w:r>
        <w:rPr/>
        <w:t xml:space="preserve">Statut final : R1–R62 intégralement ratifiées, vertes dans les deux moteurs — Python de référence 19/19 suites (80+ scénarios), moteur JS embarqué à parité. Le catalogue papier, le catalogue exécutable et les moteurs sont identiques.</w:t>
      </w:r>
    </w:p>
    <w:p>
      <w:pPr>
        <w:spacing w:before="360" w:after="80"/>
      </w:pPr>
      <w:r>
        <w:rPr>
          <w:b/>
          <w:sz w:val="26"/>
          <w:szCs w:val="26"/>
        </w:rPr>
        <w:t xml:space="preserve">Bloc 11 — O-Live CPSI : Client Profiling &amp; Segmentation Intelligence Server (R63–R67)</w:t>
      </w:r>
    </w:p>
    <w:p>
      <w:pPr>
        <w:spacing w:before="120" w:after="80"/>
      </w:pPr>
      <w:r>
        <w:rPr/>
        <w:t xml:space="preserve">Ratifiées le 13 juillet 2026. Le CPSI est un serveur dédié de profilage perpétuel : il consomme les événements de la plateforme (alertes AML qualifiées, hits screening, account reviews, changes of circumstances, agrégats transactionnels), recalcule en continu le score de risque de chaque client, le segmente en groupes de pairs, et publie des événements consommés par le moteur AML (seuils par segment), l'aiguillage workflow (SDD/CDD/EDD — alimente le seuil R59) et les revues périodiques. Il MESURE et PROPOSE : il ne modifie jamais un dossier (R39/R44).</w:t>
      </w:r>
    </w:p>
    <w:p>
      <w:pPr>
        <w:spacing w:before="120" w:after="80"/>
      </w:pPr>
      <w:r>
        <w:rPr/>
        <w:t xml:space="preserve">R63 — Score perpétuel événementiel. Tout signal recalcule le score ; chaque recalcul est un événement append-only portant score, bande et drivers. Le score est une fonction pure du statique, des signaux antérieurs à la date et de la configuration — rejouable à date (R48/R49).</w:t>
      </w:r>
    </w:p>
    <w:p>
      <w:pPr>
        <w:spacing w:before="120" w:after="80"/>
      </w:pPr>
      <w:r>
        <w:rPr/>
        <w:t xml:space="preserve">R64 — Décroissance temporelle. Half-life exponentielle (paramètre tenant, défaut 180 jours) : un signal vieux d'une demi-vie pèse exactement moitié. Le passé pèse, mais s'estompe.</w:t>
      </w:r>
    </w:p>
    <w:p>
      <w:pPr>
        <w:spacing w:before="120" w:after="80"/>
      </w:pPr>
      <w:r>
        <w:rPr/>
        <w:t xml:space="preserve">R65 — Segmentation en groupes de pairs. Grille déterministe : bande statique (B/M/H, qui est le client) × bande comportementale (CALME/ACTIF/INTENSE, ce qu'il fait). Choix méthodologique délibéré face au clustering k-means : labels stables (pas de permutation), pas de clusters singletons privant l'outlier de pairs, segment explicable en une phrase. Le groupe de pairs est la bande statique ; l'anomalie est l'écart comportemental (z-score) au sein de ce groupe.</w:t>
      </w:r>
    </w:p>
    <w:p>
      <w:pPr>
        <w:spacing w:before="120" w:after="80"/>
      </w:pPr>
      <w:r>
        <w:rPr/>
        <w:t xml:space="preserve">R66 — Franchissement de bande = événement, jamais effet de bord. Bandes LOW/MEDIUM/HIGH (tenant). Un franchissement crée une tâche de revue et une PROPOSITION d'aiguillage (EDD à la hausse, allègement à la baisse) — la re-classification reste une décision humaine ou une règle workflow explicite (R44). L'anomalie de pairs est signalée sans altérer le score (R39) : pas de boucle auto-amplifiante.</w:t>
      </w:r>
    </w:p>
    <w:p>
      <w:pPr>
        <w:spacing w:before="120" w:after="80"/>
      </w:pPr>
      <w:r>
        <w:rPr/>
        <w:t xml:space="preserve">R67 — Explicabilité obligatoire. Chaque score publie ses drivers — contributions par source dont la somme reconstitue le score. Aucun score boîte noire n'alimente l'AML ni l'aiguillage.</w:t>
      </w:r>
    </w:p>
    <w:p>
      <w:pPr>
        <w:spacing w:before="200" w:after="40"/>
      </w:pPr>
      <w:r>
        <w:rPr>
          <w:b/>
        </w:rPr>
        <w:t xml:space="preserve">PS-01 — Signal → recalcul tracé</w:t>
      </w:r>
    </w:p>
    <w:p>
      <w:pPr>
        <w:ind w:left="426"/>
        <w:spacing w:before="0" w:after="0"/>
      </w:pPr>
      <w:r>
        <w:rPr>
          <w:sz w:val="18"/>
          <w:szCs w:val="18"/>
        </w:rPr>
        <w:t xml:space="preserve">Quand une alerte fondée est ingérée</w:t>
      </w:r>
    </w:p>
    <w:p>
      <w:pPr>
        <w:ind w:left="426"/>
        <w:spacing w:before="0" w:after="0"/>
      </w:pPr>
      <w:r>
        <w:rPr>
          <w:sz w:val="18"/>
          <w:szCs w:val="18"/>
        </w:rPr>
        <w:t xml:space="preserve">Alors un événement score_recalcule est journalisé avec ses drivers et le score augmente</w:t>
      </w:r>
    </w:p>
    <w:p>
      <w:pPr>
        <w:spacing w:before="200" w:after="40"/>
      </w:pPr>
      <w:r>
        <w:rPr>
          <w:b/>
        </w:rPr>
        <w:t xml:space="preserve">PS-02 — Half-life</w:t>
      </w:r>
    </w:p>
    <w:p>
      <w:pPr>
        <w:ind w:left="426"/>
        <w:spacing w:before="0" w:after="0"/>
      </w:pPr>
      <w:r>
        <w:rPr>
          <w:sz w:val="18"/>
          <w:szCs w:val="18"/>
        </w:rPr>
        <w:t xml:space="preserve">Étant donné un signal ingéré aujourd'hui</w:t>
      </w:r>
    </w:p>
    <w:p>
      <w:pPr>
        <w:ind w:left="426"/>
        <w:spacing w:before="0" w:after="0"/>
      </w:pPr>
      <w:r>
        <w:rPr>
          <w:sz w:val="18"/>
          <w:szCs w:val="18"/>
        </w:rPr>
        <w:t xml:space="preserve">Alors sa contribution à une demi-vie de distance vaut exactement la moitié</w:t>
      </w:r>
    </w:p>
    <w:p>
      <w:pPr>
        <w:spacing w:before="200" w:after="40"/>
      </w:pPr>
      <w:r>
        <w:rPr>
          <w:b/>
        </w:rPr>
        <w:t xml:space="preserve">PS-03 — Rejeu à date</w:t>
      </w:r>
    </w:p>
    <w:p>
      <w:pPr>
        <w:ind w:left="426"/>
        <w:spacing w:before="0" w:after="0"/>
      </w:pPr>
      <w:r>
        <w:rPr>
          <w:sz w:val="18"/>
          <w:szCs w:val="18"/>
        </w:rPr>
        <w:t xml:space="preserve">Étant donné une alerte à J100</w:t>
      </w:r>
    </w:p>
    <w:p>
      <w:pPr>
        <w:ind w:left="426"/>
        <w:spacing w:before="0" w:after="0"/>
      </w:pPr>
      <w:r>
        <w:rPr>
          <w:sz w:val="18"/>
          <w:szCs w:val="18"/>
        </w:rPr>
        <w:t xml:space="preserve">Quand le score est rejoué à J50</w:t>
      </w:r>
    </w:p>
    <w:p>
      <w:pPr>
        <w:ind w:left="426"/>
        <w:spacing w:before="0" w:after="0"/>
      </w:pPr>
      <w:r>
        <w:rPr>
          <w:sz w:val="18"/>
          <w:szCs w:val="18"/>
        </w:rPr>
        <w:t xml:space="preserve">Alors l'alerte n'existe pas encore — le futur n'entre jamais</w:t>
      </w:r>
    </w:p>
    <w:p>
      <w:pPr>
        <w:spacing w:before="200" w:after="40"/>
      </w:pPr>
      <w:r>
        <w:rPr>
          <w:b/>
        </w:rPr>
        <w:t xml:space="preserve">PS-04 — Les drivers somment</w:t>
      </w:r>
    </w:p>
    <w:p>
      <w:pPr>
        <w:ind w:left="426"/>
        <w:spacing w:before="0" w:after="0"/>
      </w:pPr>
      <w:r>
        <w:rPr>
          <w:sz w:val="18"/>
          <w:szCs w:val="18"/>
        </w:rPr>
        <w:t xml:space="preserve">Alors la somme des drivers publiés reconstitue le score (plafonné à 100)</w:t>
      </w:r>
    </w:p>
    <w:p>
      <w:pPr>
        <w:spacing w:before="200" w:after="40"/>
      </w:pPr>
      <w:r>
        <w:rPr>
          <w:b/>
        </w:rPr>
        <w:t xml:space="preserve">PS-05 — Aucun effet de bord</w:t>
      </w:r>
    </w:p>
    <w:p>
      <w:pPr>
        <w:ind w:left="426"/>
        <w:spacing w:before="0" w:after="0"/>
      </w:pPr>
      <w:r>
        <w:rPr>
          <w:sz w:val="18"/>
          <w:szCs w:val="18"/>
        </w:rPr>
        <w:t xml:space="preserve">Alors l'ingestion n'émet que des événements CPSI</w:t>
      </w:r>
    </w:p>
    <w:p>
      <w:pPr>
        <w:ind w:left="426"/>
        <w:spacing w:before="0" w:after="0"/>
      </w:pPr>
      <w:r>
        <w:rPr>
          <w:sz w:val="18"/>
          <w:szCs w:val="18"/>
        </w:rPr>
        <w:t xml:space="preserve">Et un type de signal inconnu est refusé (default-deny)</w:t>
      </w:r>
    </w:p>
    <w:p>
      <w:pPr>
        <w:spacing w:before="200" w:after="40"/>
      </w:pPr>
      <w:r>
        <w:rPr>
          <w:b/>
        </w:rPr>
        <w:t xml:space="preserve">SG-01 — Segments tracés</w:t>
      </w:r>
    </w:p>
    <w:p>
      <w:pPr>
        <w:ind w:left="426"/>
        <w:spacing w:before="0" w:after="0"/>
      </w:pPr>
      <w:r>
        <w:rPr>
          <w:sz w:val="18"/>
          <w:szCs w:val="18"/>
        </w:rPr>
        <w:t xml:space="preserve">Étant donné 8 profils bas et 4 profils hauts</w:t>
      </w:r>
    </w:p>
    <w:p>
      <w:pPr>
        <w:ind w:left="426"/>
        <w:spacing w:before="0" w:after="0"/>
      </w:pPr>
      <w:r>
        <w:rPr>
          <w:sz w:val="18"/>
          <w:szCs w:val="18"/>
        </w:rPr>
        <w:t xml:space="preserve">Alors la segmentation les sépare, chaque affectation est un événement,</w:t>
      </w:r>
    </w:p>
    <w:p>
      <w:pPr>
        <w:ind w:left="426"/>
        <w:spacing w:before="0" w:after="0"/>
      </w:pPr>
      <w:r>
        <w:rPr>
          <w:sz w:val="18"/>
          <w:szCs w:val="18"/>
        </w:rPr>
        <w:t xml:space="preserve">et les profils identiques partagent le même segment</w:t>
      </w:r>
    </w:p>
    <w:p>
      <w:pPr>
        <w:spacing w:before="200" w:after="40"/>
      </w:pPr>
      <w:r>
        <w:rPr>
          <w:b/>
        </w:rPr>
        <w:t xml:space="preserve">SG-02 — Anomalie signalée sans altérer</w:t>
      </w:r>
    </w:p>
    <w:p>
      <w:pPr>
        <w:ind w:left="426"/>
        <w:spacing w:before="0" w:after="0"/>
      </w:pPr>
      <w:r>
        <w:rPr>
          <w:sz w:val="18"/>
          <w:szCs w:val="18"/>
        </w:rPr>
        <w:t xml:space="preserve">Étant donné un client au comportement très anormal parmi ses pairs</w:t>
      </w:r>
    </w:p>
    <w:p>
      <w:pPr>
        <w:ind w:left="426"/>
        <w:spacing w:before="0" w:after="0"/>
      </w:pPr>
      <w:r>
        <w:rPr>
          <w:sz w:val="18"/>
          <w:szCs w:val="18"/>
        </w:rPr>
        <w:t xml:space="preserve">Alors anomalie_pairs_signalee est journalisé (z &gt; 2) avec tâche de revue</w:t>
      </w:r>
    </w:p>
    <w:p>
      <w:pPr>
        <w:ind w:left="426"/>
        <w:spacing w:before="0" w:after="0"/>
      </w:pPr>
      <w:r>
        <w:rPr>
          <w:sz w:val="18"/>
          <w:szCs w:val="18"/>
        </w:rPr>
        <w:t xml:space="preserve">Et son score reste inchangé — mesure, pas coercition (R39)</w:t>
      </w:r>
    </w:p>
    <w:p>
      <w:pPr>
        <w:spacing w:before="200" w:after="40"/>
      </w:pPr>
      <w:r>
        <w:rPr>
          <w:b/>
        </w:rPr>
        <w:t xml:space="preserve">SG-03 — Changement de segment tracé</w:t>
      </w:r>
    </w:p>
    <w:p>
      <w:pPr>
        <w:ind w:left="426"/>
        <w:spacing w:before="0" w:after="0"/>
      </w:pPr>
      <w:r>
        <w:rPr>
          <w:sz w:val="18"/>
          <w:szCs w:val="18"/>
        </w:rPr>
        <w:t xml:space="preserve">Quand le comportement d'un client bascule sa bande</w:t>
      </w:r>
    </w:p>
    <w:p>
      <w:pPr>
        <w:ind w:left="426"/>
        <w:spacing w:before="0" w:after="0"/>
      </w:pPr>
      <w:r>
        <w:rPr>
          <w:sz w:val="18"/>
          <w:szCs w:val="18"/>
        </w:rPr>
        <w:t xml:space="preserve">Alors segment_change est journalisé (avant → après)</w:t>
      </w:r>
    </w:p>
    <w:p>
      <w:pPr>
        <w:spacing w:before="200" w:after="40"/>
      </w:pPr>
      <w:r>
        <w:rPr>
          <w:b/>
        </w:rPr>
        <w:t xml:space="preserve">BD-01 — Franchissement proposé, pas imposé</w:t>
      </w:r>
    </w:p>
    <w:p>
      <w:pPr>
        <w:ind w:left="426"/>
        <w:spacing w:before="0" w:after="0"/>
      </w:pPr>
      <w:r>
        <w:rPr>
          <w:sz w:val="18"/>
          <w:szCs w:val="18"/>
        </w:rPr>
        <w:t xml:space="preserve">Quand le score franchit la bande HIGH</w:t>
      </w:r>
    </w:p>
    <w:p>
      <w:pPr>
        <w:ind w:left="426"/>
        <w:spacing w:before="0" w:after="0"/>
      </w:pPr>
      <w:r>
        <w:rPr>
          <w:sz w:val="18"/>
          <w:szCs w:val="18"/>
        </w:rPr>
        <w:t xml:space="preserve">Alors tâche de revue + aiguillage EDD PROPOSÉ avec motif citant R44</w:t>
      </w:r>
    </w:p>
    <w:p>
      <w:pPr>
        <w:spacing w:before="200" w:after="40"/>
      </w:pPr>
      <w:r>
        <w:rPr>
          <w:b/>
        </w:rPr>
        <w:t xml:space="preserve">BD-02 — Paramètres tenant</w:t>
      </w:r>
    </w:p>
    <w:p>
      <w:pPr>
        <w:ind w:left="426"/>
        <w:spacing w:before="0" w:after="0"/>
      </w:pPr>
      <w:r>
        <w:rPr>
          <w:sz w:val="18"/>
          <w:szCs w:val="18"/>
        </w:rPr>
        <w:t xml:space="preserve">Étant donné des bandes, une half-life et des seuils tenant</w:t>
      </w:r>
    </w:p>
    <w:p>
      <w:pPr>
        <w:ind w:left="426"/>
        <w:spacing w:before="0" w:after="0"/>
      </w:pPr>
      <w:r>
        <w:rPr>
          <w:sz w:val="18"/>
          <w:szCs w:val="18"/>
        </w:rPr>
        <w:t xml:space="preserve">Alors le CPSI les applique — valeurs par défaut sinon (questionnaire R-Q)</w:t>
      </w:r>
    </w:p>
    <w:p>
      <w:pPr>
        <w:spacing w:before="120" w:after="200"/>
      </w:pPr>
      <w:r>
        <w:rPr/>
        <w:t xml:space="preserve">Serveur de référence : services/cpsi-server-py (pur Python, déterministe) — suite CPSI bloc 1 10/10 verte. Intégration cible : worker consommant l'outbox domain_events (KYC_VALIDATED, ALERT_QUALIFIED, REVIEW_CLOSED, COC_RAISED, TX_AGGREGATE), publiant score_recalcule / bande_franchie / segment_change / aiguillage_propose sur le bus, scores en table append-only. Moteur workflow inchangé : 19/19 suites.</w:t>
      </w:r>
    </w:p>
    <w:p>
      <w:pPr>
        <w:spacing w:before="360" w:after="80"/>
      </w:pPr>
      <w:r>
        <w:rPr>
          <w:b/>
          <w:sz w:val="26"/>
          <w:szCs w:val="26"/>
        </w:rPr>
        <w:t xml:space="preserve">Bloc 12 — Gouvernance des règles de calcul CPSI (R68–R70) et câblages</w:t>
      </w:r>
    </w:p>
    <w:p>
      <w:pPr>
        <w:spacing w:before="120" w:after="80"/>
      </w:pPr>
      <w:r>
        <w:rPr/>
        <w:t xml:space="preserve">Ratifiées le 13 juillet 2026 — le catalogue R1–R70 est intégralement ratifié.</w:t>
      </w:r>
    </w:p>
    <w:p>
      <w:pPr>
        <w:spacing w:before="120" w:after="80"/>
      </w:pPr>
      <w:r>
        <w:rPr/>
        <w:t xml:space="preserve">R68 — Paramètres transparents, en clair, versionnés. Tous les paramètres de calcul du CPSI (poids des signaux et du statique, half-life, bandes, seuils de segments) sont des paramètres tenant AFFICHÉS EN CLAIR à côté de leur écran de paramétrage : la formule en français, chaque poids avec sa valeur courante. Toute modification est un événement versionné par date de mise en vigueur — le rejeu à date (R48) utilise la configuration en vigueur ce jour-là : le grandfathering vaut aussi pour les règles de calcul.</w:t>
      </w:r>
    </w:p>
    <w:p>
      <w:pPr>
        <w:spacing w:before="120" w:after="80"/>
      </w:pPr>
      <w:r>
        <w:rPr/>
        <w:t xml:space="preserve">R69 — Évolution humaine ET propositions IA. L'IA (Olivia) peut proposer une modification de paramètre : la proposition embarque sa justification et son impact simulé, et n'a strictement AUCUN effet tant qu'un humain ne l'adopte (R44). L'adoption trace le décideur et la référence de la proposition ; le rejet exige une motivation.</w:t>
      </w:r>
    </w:p>
    <w:p>
      <w:pPr>
        <w:spacing w:before="120" w:after="80"/>
      </w:pPr>
      <w:r>
        <w:rPr/>
        <w:t xml:space="preserve">R70 — Bac à sable de stress test. Toute modification ou ajout de règle de calcul se simule d'abord : delta moyen de score, liste nominative des franchissements de bande, nouveaux HIGH, charge de revues induite — sans rien muter (ni bande, ni tâche, ni score). Le rapport d'impact accompagne l'adoption. Dans l'interface, « Appliquer » est verrouillé tant que les valeurs saisies n'ont pas été simulées : la discipline est dans l'UX.</w:t>
      </w:r>
    </w:p>
    <w:p>
      <w:pPr>
        <w:spacing w:before="200" w:after="40"/>
      </w:pPr>
      <w:r>
        <w:rPr>
          <w:b/>
        </w:rPr>
        <w:t xml:space="preserve">PT-01 — Paramètre versionné</w:t>
      </w:r>
    </w:p>
    <w:p>
      <w:pPr>
        <w:ind w:left="426"/>
        <w:spacing w:before="0" w:after="0"/>
      </w:pPr>
      <w:r>
        <w:rPr>
          <w:sz w:val="18"/>
          <w:szCs w:val="18"/>
        </w:rPr>
        <w:t xml:space="preserve">Quand un poids est modifié au 10 juillet</w:t>
      </w:r>
    </w:p>
    <w:p>
      <w:pPr>
        <w:ind w:left="426"/>
        <w:spacing w:before="0" w:after="0"/>
      </w:pPr>
      <w:r>
        <w:rPr>
          <w:sz w:val="18"/>
          <w:szCs w:val="18"/>
        </w:rPr>
        <w:t xml:space="preserve">Alors l'événement parametre_modifie est journalisé, le score change après cette date,</w:t>
      </w:r>
    </w:p>
    <w:p>
      <w:pPr>
        <w:ind w:left="426"/>
        <w:spacing w:before="0" w:after="0"/>
      </w:pPr>
      <w:r>
        <w:rPr>
          <w:sz w:val="18"/>
          <w:szCs w:val="18"/>
        </w:rPr>
        <w:t xml:space="preserve">et le rejeu au 5 juillet applique l'ancienne règle (grandfathering des règles de calcul)</w:t>
      </w:r>
    </w:p>
    <w:p>
      <w:pPr>
        <w:spacing w:before="200" w:after="40"/>
      </w:pPr>
      <w:r>
        <w:rPr>
          <w:b/>
        </w:rPr>
        <w:t xml:space="preserve">PT-02 — Règles en clair</w:t>
      </w:r>
    </w:p>
    <w:p>
      <w:pPr>
        <w:ind w:left="426"/>
        <w:spacing w:before="0" w:after="0"/>
      </w:pPr>
      <w:r>
        <w:rPr>
          <w:sz w:val="18"/>
          <w:szCs w:val="18"/>
        </w:rPr>
        <w:t xml:space="preserve">Alors la description en clair reflète les valeurs courantes, et suit chaque modification</w:t>
      </w:r>
    </w:p>
    <w:p>
      <w:pPr>
        <w:spacing w:before="200" w:after="40"/>
      </w:pPr>
      <w:r>
        <w:rPr>
          <w:b/>
        </w:rPr>
        <w:t xml:space="preserve">PT-03 — Default-deny</w:t>
      </w:r>
    </w:p>
    <w:p>
      <w:pPr>
        <w:ind w:left="426"/>
        <w:spacing w:before="0" w:after="0"/>
      </w:pPr>
      <w:r>
        <w:rPr>
          <w:sz w:val="18"/>
          <w:szCs w:val="18"/>
        </w:rPr>
        <w:t xml:space="preserve">Quand un chemin de paramètre inconnu est modifié ou proposé</w:t>
      </w:r>
    </w:p>
    <w:p>
      <w:pPr>
        <w:ind w:left="426"/>
        <w:spacing w:before="0" w:after="0"/>
      </w:pPr>
      <w:r>
        <w:rPr>
          <w:sz w:val="18"/>
          <w:szCs w:val="18"/>
        </w:rPr>
        <w:t xml:space="preserve">Alors l'action est refusée AVANT tout effet, aucune version n'est créée</w:t>
      </w:r>
    </w:p>
    <w:p>
      <w:pPr>
        <w:spacing w:before="200" w:after="40"/>
      </w:pPr>
      <w:r>
        <w:rPr>
          <w:b/>
        </w:rPr>
        <w:t xml:space="preserve">IA-01 — Proposition sans effet</w:t>
      </w:r>
    </w:p>
    <w:p>
      <w:pPr>
        <w:ind w:left="426"/>
        <w:spacing w:before="0" w:after="0"/>
      </w:pPr>
      <w:r>
        <w:rPr>
          <w:sz w:val="18"/>
          <w:szCs w:val="18"/>
        </w:rPr>
        <w:t xml:space="preserve">Étant donné une proposition d'Olivia avec impact simulé joint</w:t>
      </w:r>
    </w:p>
    <w:p>
      <w:pPr>
        <w:ind w:left="426"/>
        <w:spacing w:before="0" w:after="0"/>
      </w:pPr>
      <w:r>
        <w:rPr>
          <w:sz w:val="18"/>
          <w:szCs w:val="18"/>
        </w:rPr>
        <w:t xml:space="preserve">Alors les scores restent inchangés tant qu'aucun humain n'a adopté (R44)</w:t>
      </w:r>
    </w:p>
    <w:p>
      <w:pPr>
        <w:spacing w:before="200" w:after="40"/>
      </w:pPr>
      <w:r>
        <w:rPr>
          <w:b/>
        </w:rPr>
        <w:t xml:space="preserve">IA-02 — Décision humaine tracée</w:t>
      </w:r>
    </w:p>
    <w:p>
      <w:pPr>
        <w:ind w:left="426"/>
        <w:spacing w:before="0" w:after="0"/>
      </w:pPr>
      <w:r>
        <w:rPr>
          <w:sz w:val="18"/>
          <w:szCs w:val="18"/>
        </w:rPr>
        <w:t xml:space="preserve">Quand un humain adopte, l'événement parametre_modifie porte le décideur et la référence ;</w:t>
      </w:r>
    </w:p>
    <w:p>
      <w:pPr>
        <w:ind w:left="426"/>
        <w:spacing w:before="0" w:after="0"/>
      </w:pPr>
      <w:r>
        <w:rPr>
          <w:sz w:val="18"/>
          <w:szCs w:val="18"/>
        </w:rPr>
        <w:t xml:space="preserve">le rejet sans motivation est refusé ; une proposition décidée ne peut être re-décidée</w:t>
      </w:r>
    </w:p>
    <w:p>
      <w:pPr>
        <w:spacing w:before="200" w:after="40"/>
      </w:pPr>
      <w:r>
        <w:rPr>
          <w:b/>
        </w:rPr>
        <w:t xml:space="preserve">ST-01 — Impact rapporté</w:t>
      </w:r>
    </w:p>
    <w:p>
      <w:pPr>
        <w:ind w:left="426"/>
        <w:spacing w:before="0" w:after="0"/>
      </w:pPr>
      <w:r>
        <w:rPr>
          <w:sz w:val="18"/>
          <w:szCs w:val="18"/>
        </w:rPr>
        <w:t xml:space="preserve">Quand un durcissement est simulé sur la population</w:t>
      </w:r>
    </w:p>
    <w:p>
      <w:pPr>
        <w:ind w:left="426"/>
        <w:spacing w:before="0" w:after="0"/>
      </w:pPr>
      <w:r>
        <w:rPr>
          <w:sz w:val="18"/>
          <w:szCs w:val="18"/>
        </w:rPr>
        <w:t xml:space="preserve">Alors le rapport donne le delta moyen, les franchissements nominatifs et la charge de revues induite</w:t>
      </w:r>
    </w:p>
    <w:p>
      <w:pPr>
        <w:spacing w:before="200" w:after="40"/>
      </w:pPr>
      <w:r>
        <w:rPr>
          <w:b/>
        </w:rPr>
        <w:t xml:space="preserve">ST-02 — Simulation sans mutation</w:t>
      </w:r>
    </w:p>
    <w:p>
      <w:pPr>
        <w:ind w:left="426"/>
        <w:spacing w:before="0" w:after="0"/>
      </w:pPr>
      <w:r>
        <w:rPr>
          <w:sz w:val="18"/>
          <w:szCs w:val="18"/>
        </w:rPr>
        <w:t xml:space="preserve">Alors l'événement impact_simule est journalisé mais ni bande, ni tâche, ni score ne changent</w:t>
      </w:r>
    </w:p>
    <w:p>
      <w:pPr>
        <w:spacing w:before="200" w:after="40"/>
      </w:pPr>
      <w:r>
        <w:rPr>
          <w:b/>
        </w:rPr>
        <w:t xml:space="preserve">ST-03 — Impact joint à l'adoption</w:t>
      </w:r>
    </w:p>
    <w:p>
      <w:pPr>
        <w:ind w:left="426"/>
        <w:spacing w:before="0" w:after="0"/>
      </w:pPr>
      <w:r>
        <w:rPr>
          <w:sz w:val="18"/>
          <w:szCs w:val="18"/>
        </w:rPr>
        <w:t xml:space="preserve">Alors l'événement d'adoption référence le nombre de franchissements de l'impact simulé</w:t>
      </w:r>
    </w:p>
    <w:p>
      <w:pPr>
        <w:spacing w:before="120" w:after="200"/>
      </w:pPr>
      <w:r>
        <w:rPr/>
        <w:t xml:space="preserve">Câblages ratifiés avec ce bloc. (1) Paramétrage CoC centralisé : store unique — matérialité, action, rôle affecté et sévérité du signal CPSI coc_sensible par type de changement ; matérialité Haute force la révision KYC proposée ; écran dédié sous Paramétrage → Règles &amp; moteur, consommé par l'écran opérationnel. Le menu Paramétrage est organisé par thèmes : Sections &amp; questionnaires, Règles &amp; moteur, Accès &amp; rôles, Général. (2) CPSI → aiguillage workflow (R66/R44) : les écarts entre bande CPSI et régime de diligence deviennent des propositions actionnables — durcissement vers EDD, allègement depuis EDD — adoption humaine tracée dans le trail du dossier et au journal, rejet motivé obligatoire. Statut : serveur Python CPSI 2/2 suites (18 tests) ; moteur workflow 19/19 ; démonstrateur vérifié de bout en bout sur 204 clients.</w:t>
      </w:r>
    </w:p>
    <w:p>
      <w:pPr>
        <w:spacing w:before="360" w:after="80"/>
      </w:pPr>
      <w:r>
        <w:rPr>
          <w:b/>
          <w:sz w:val="26"/>
          <w:szCs w:val="26"/>
        </w:rPr>
        <w:t xml:space="preserve">Bloc 13 — Groupes de population : segmentation, barème par groupe, ciblage AML (R71–R74)</w:t>
      </w:r>
    </w:p>
    <w:p>
      <w:pPr>
        <w:spacing w:before="120" w:after="80"/>
      </w:pPr>
      <w:r>
        <w:rPr/>
        <w:t xml:space="preserve">Ratifiées le 13 juillet 2026 — catalogue R1–R74 intégralement ratifié. État de l'art : la segmentation client (customer segmentation / peer-group analysis, cf. Actimize, SAS AML, Oracle FCCM, Quantexa) est la traduction opérationnelle de l'approche par les risques FATF/FINMA. On partitionne la base client en cohortes homogènes, on calibre les seuils de chaque scénario par cohorte, et un scénario ne s'évalue que sur les membres concernés — c'est le levier premier de réduction des faux positifs.</w:t>
      </w:r>
    </w:p>
    <w:p>
      <w:pPr>
        <w:spacing w:before="120" w:after="80"/>
      </w:pPr>
      <w:r>
        <w:rPr/>
        <w:t xml:space="preserve">R71 — Groupes de population (cohortes paramétrables). La base client est partitionnée en groupes définis par un prédicat déclaratif composable : une combinaison ET/OU de conditions sur des attributs (secteur d'activité, type de personne, bande d'AUM, pays/risque pays, statut PEP, score de risque, historique). Un groupe peut donc être simple (secteur), couple (secteur × AUM), ou triple et au-delà (secteur × AUM × score × historique). Le chevauchement est autorisé ; une priorité départage le groupe primaire pour le barème exclusif. Appartenances tracées.</w:t>
      </w:r>
    </w:p>
    <w:p>
      <w:pPr>
        <w:spacing w:before="120" w:after="80"/>
      </w:pPr>
      <w:r>
        <w:rPr/>
        <w:t xml:space="preserve">R72 — Barème de score par groupe. Chaque groupe peut porter SON propre barème (poids, half-life, bandes) : un groupe « négoce à AUM élevé » ne se score pas comme « personne physique mass-affluent ». À défaut de surcharge, le groupe hérite du barème global. Le barème effectif d'un client est celui de son groupe primaire ; l'appartenance est calculée au barème global pour éviter toute circularité. Explicabilité conservée (R67).</w:t>
      </w:r>
    </w:p>
    <w:p>
      <w:pPr>
        <w:spacing w:before="120" w:after="80"/>
      </w:pPr>
      <w:r>
        <w:rPr/>
        <w:t xml:space="preserve">R73 — Ciblage des scénarios AML par groupe. Un scénario déclare les groupes qu'il vise et un seuil PROPRE à chaque groupe. Il ne s'évalue que sur les membres de ces groupes : les clients hors périmètre ne sont jamais évalués. Un même montant ou score franchit le seuil d'un groupe et pas celui d'un autre — le fine-tuning par groupe concentre l'attention sur les personnes réellement concernées.</w:t>
      </w:r>
    </w:p>
    <w:p>
      <w:pPr>
        <w:spacing w:before="120" w:after="80"/>
      </w:pPr>
      <w:r>
        <w:rPr/>
        <w:t xml:space="preserve">R74 — Tout paramétrable, tout affiché. Définitions de groupes, prédicats, barèmes (hérité vs surchargé), effectifs et scénarios ciblés sont affichés en clair. Ils héritent de la gouvernance du bloc 12 : versionnés par date (R68), simulables au bac à sable (R70), proposables par l'IA / décidés par l'humain (R69).</w:t>
      </w:r>
    </w:p>
    <w:p>
      <w:pPr>
        <w:spacing w:before="200" w:after="40"/>
      </w:pPr>
      <w:r>
        <w:rPr>
          <w:b/>
        </w:rPr>
        <w:t xml:space="preserve">GP-01 — Groupe par secteur</w:t>
      </w:r>
    </w:p>
    <w:p>
      <w:pPr>
        <w:ind w:left="426"/>
        <w:spacing w:before="0" w:after="0"/>
      </w:pPr>
      <w:r>
        <w:rPr>
          <w:sz w:val="18"/>
          <w:szCs w:val="18"/>
        </w:rPr>
        <w:t xml:space="preserve">Étant donné un groupe « secteur ∈ {Négoce, Énergie} »</w:t>
      </w:r>
    </w:p>
    <w:p>
      <w:pPr>
        <w:ind w:left="426"/>
        <w:spacing w:before="0" w:after="0"/>
      </w:pPr>
      <w:r>
        <w:rPr>
          <w:sz w:val="18"/>
          <w:szCs w:val="18"/>
        </w:rPr>
        <w:t xml:space="preserve">Alors ses membres sont exactement les clients de ces secteurs, définition journalisée</w:t>
      </w:r>
    </w:p>
    <w:p>
      <w:pPr>
        <w:spacing w:before="200" w:after="40"/>
      </w:pPr>
      <w:r>
        <w:rPr>
          <w:b/>
        </w:rPr>
        <w:t xml:space="preserve">GP-02 — Groupe personnes physiques</w:t>
      </w:r>
    </w:p>
    <w:p>
      <w:pPr>
        <w:ind w:left="426"/>
        <w:spacing w:before="0" w:after="0"/>
      </w:pPr>
      <w:r>
        <w:rPr>
          <w:sz w:val="18"/>
          <w:szCs w:val="18"/>
        </w:rPr>
        <w:t xml:space="preserve">Étant donné un groupe « type = PP »</w:t>
      </w:r>
    </w:p>
    <w:p>
      <w:pPr>
        <w:ind w:left="426"/>
        <w:spacing w:before="0" w:after="0"/>
      </w:pPr>
      <w:r>
        <w:rPr>
          <w:sz w:val="18"/>
          <w:szCs w:val="18"/>
        </w:rPr>
        <w:t xml:space="preserve">Alors ses membres sont exactement les personnes physiques</w:t>
      </w:r>
    </w:p>
    <w:p>
      <w:pPr>
        <w:spacing w:before="200" w:after="40"/>
      </w:pPr>
      <w:r>
        <w:rPr>
          <w:b/>
        </w:rPr>
        <w:t xml:space="preserve">GP-03 — Critère couple</w:t>
      </w:r>
    </w:p>
    <w:p>
      <w:pPr>
        <w:ind w:left="426"/>
        <w:spacing w:before="0" w:after="0"/>
      </w:pPr>
      <w:r>
        <w:rPr>
          <w:sz w:val="18"/>
          <w:szCs w:val="18"/>
        </w:rPr>
        <w:t xml:space="preserve">Étant donné « secteur = Énergie ET aum_band ∈ {HNWI, UHNWI} »</w:t>
      </w:r>
    </w:p>
    <w:p>
      <w:pPr>
        <w:ind w:left="426"/>
        <w:spacing w:before="0" w:after="0"/>
      </w:pPr>
      <w:r>
        <w:rPr>
          <w:sz w:val="18"/>
          <w:szCs w:val="18"/>
        </w:rPr>
        <w:t xml:space="preserve">Alors seuls les clients satisfaisant les deux conditions sont membres</w:t>
      </w:r>
    </w:p>
    <w:p>
      <w:pPr>
        <w:spacing w:before="200" w:after="40"/>
      </w:pPr>
      <w:r>
        <w:rPr>
          <w:b/>
        </w:rPr>
        <w:t xml:space="preserve">GP-04 — Chevauchement &amp; priorité</w:t>
      </w:r>
    </w:p>
    <w:p>
      <w:pPr>
        <w:ind w:left="426"/>
        <w:spacing w:before="0" w:after="0"/>
      </w:pPr>
      <w:r>
        <w:rPr>
          <w:sz w:val="18"/>
          <w:szCs w:val="18"/>
        </w:rPr>
        <w:t xml:space="preserve">Étant donné un client membre de deux groupes</w:t>
      </w:r>
    </w:p>
    <w:p>
      <w:pPr>
        <w:ind w:left="426"/>
        <w:spacing w:before="0" w:after="0"/>
      </w:pPr>
      <w:r>
        <w:rPr>
          <w:sz w:val="18"/>
          <w:szCs w:val="18"/>
        </w:rPr>
        <w:t xml:space="preserve">Alors le groupe primaire est le plus prioritaire (priorité la plus basse)</w:t>
      </w:r>
    </w:p>
    <w:p>
      <w:pPr>
        <w:spacing w:before="200" w:after="40"/>
      </w:pPr>
      <w:r>
        <w:rPr>
          <w:b/>
        </w:rPr>
        <w:t xml:space="preserve">GP-05 — Groupes en clair</w:t>
      </w:r>
    </w:p>
    <w:p>
      <w:pPr>
        <w:ind w:left="426"/>
        <w:spacing w:before="0" w:after="0"/>
      </w:pPr>
      <w:r>
        <w:rPr>
          <w:sz w:val="18"/>
          <w:szCs w:val="18"/>
        </w:rPr>
        <w:t xml:space="preserve">Alors chaque groupe expose son prédicat lisible, son barème et son effectif</w:t>
      </w:r>
    </w:p>
    <w:p>
      <w:pPr>
        <w:spacing w:before="200" w:after="40"/>
      </w:pPr>
      <w:r>
        <w:rPr>
          <w:b/>
        </w:rPr>
        <w:t xml:space="preserve">BG-01 — Barème par groupe</w:t>
      </w:r>
    </w:p>
    <w:p>
      <w:pPr>
        <w:ind w:left="426"/>
        <w:spacing w:before="0" w:after="0"/>
      </w:pPr>
      <w:r>
        <w:rPr>
          <w:sz w:val="18"/>
          <w:szCs w:val="18"/>
        </w:rPr>
        <w:t xml:space="preserve">Étant donné un groupe surpondérant la vélocité</w:t>
      </w:r>
    </w:p>
    <w:p>
      <w:pPr>
        <w:ind w:left="426"/>
        <w:spacing w:before="0" w:after="0"/>
      </w:pPr>
      <w:r>
        <w:rPr>
          <w:sz w:val="18"/>
          <w:szCs w:val="18"/>
        </w:rPr>
        <w:t xml:space="preserve">Alors ses membres sont scorés à ce barème, différemment du global</w:t>
      </w:r>
    </w:p>
    <w:p>
      <w:pPr>
        <w:spacing w:before="200" w:after="40"/>
      </w:pPr>
      <w:r>
        <w:rPr>
          <w:b/>
        </w:rPr>
        <w:t xml:space="preserve">BG-02 — Critère triple</w:t>
      </w:r>
    </w:p>
    <w:p>
      <w:pPr>
        <w:ind w:left="426"/>
        <w:spacing w:before="0" w:after="0"/>
      </w:pPr>
      <w:r>
        <w:rPr>
          <w:sz w:val="18"/>
          <w:szCs w:val="18"/>
        </w:rPr>
        <w:t xml:space="preserve">Étant donné « secteur × AUM × score » avec bandes resserrées</w:t>
      </w:r>
    </w:p>
    <w:p>
      <w:pPr>
        <w:ind w:left="426"/>
        <w:spacing w:before="0" w:after="0"/>
      </w:pPr>
      <w:r>
        <w:rPr>
          <w:sz w:val="18"/>
          <w:szCs w:val="18"/>
        </w:rPr>
        <w:t xml:space="preserve">Alors le membre bascule en HIGH selon le barème du groupe</w:t>
      </w:r>
    </w:p>
    <w:p>
      <w:pPr>
        <w:spacing w:before="200" w:after="40"/>
      </w:pPr>
      <w:r>
        <w:rPr>
          <w:b/>
        </w:rPr>
        <w:t xml:space="preserve">BG-03 — Héritage</w:t>
      </w:r>
    </w:p>
    <w:p>
      <w:pPr>
        <w:ind w:left="426"/>
        <w:spacing w:before="0" w:after="0"/>
      </w:pPr>
      <w:r>
        <w:rPr>
          <w:sz w:val="18"/>
          <w:szCs w:val="18"/>
        </w:rPr>
        <w:t xml:space="preserve">Étant donné un groupe sans barème propre</w:t>
      </w:r>
    </w:p>
    <w:p>
      <w:pPr>
        <w:ind w:left="426"/>
        <w:spacing w:before="0" w:after="0"/>
      </w:pPr>
      <w:r>
        <w:rPr>
          <w:sz w:val="18"/>
          <w:szCs w:val="18"/>
        </w:rPr>
        <w:t xml:space="preserve">Alors ses membres sont scorés au barème global</w:t>
      </w:r>
    </w:p>
    <w:p>
      <w:pPr>
        <w:spacing w:before="200" w:after="40"/>
      </w:pPr>
      <w:r>
        <w:rPr>
          <w:b/>
        </w:rPr>
        <w:t xml:space="preserve">SC-01 — Scénario ciblé</w:t>
      </w:r>
    </w:p>
    <w:p>
      <w:pPr>
        <w:ind w:left="426"/>
        <w:spacing w:before="0" w:after="0"/>
      </w:pPr>
      <w:r>
        <w:rPr>
          <w:sz w:val="18"/>
          <w:szCs w:val="18"/>
        </w:rPr>
        <w:t xml:space="preserve">Étant donné un scénario visant le groupe PP</w:t>
      </w:r>
    </w:p>
    <w:p>
      <w:pPr>
        <w:ind w:left="426"/>
        <w:spacing w:before="0" w:after="0"/>
      </w:pPr>
      <w:r>
        <w:rPr>
          <w:sz w:val="18"/>
          <w:szCs w:val="18"/>
        </w:rPr>
        <w:t xml:space="preserve">Alors seuls les membres PP sont évalués ; un non-membre n'est jamais pris</w:t>
      </w:r>
    </w:p>
    <w:p>
      <w:pPr>
        <w:spacing w:before="200" w:after="40"/>
      </w:pPr>
      <w:r>
        <w:rPr>
          <w:b/>
        </w:rPr>
        <w:t xml:space="preserve">SC-02 — Seuils par groupe</w:t>
      </w:r>
    </w:p>
    <w:p>
      <w:pPr>
        <w:ind w:left="426"/>
        <w:spacing w:before="0" w:after="0"/>
      </w:pPr>
      <w:r>
        <w:rPr>
          <w:sz w:val="18"/>
          <w:szCs w:val="18"/>
        </w:rPr>
        <w:t xml:space="preserve">Étant donné un seuil bas pour Mass Affluent et haut pour UHNWI</w:t>
      </w:r>
    </w:p>
    <w:p>
      <w:pPr>
        <w:ind w:left="426"/>
        <w:spacing w:before="0" w:after="0"/>
      </w:pPr>
      <w:r>
        <w:rPr>
          <w:sz w:val="18"/>
          <w:szCs w:val="18"/>
        </w:rPr>
        <w:t xml:space="preserve">Alors le même attribut franchit chez l'un et pas chez l'autre</w:t>
      </w:r>
    </w:p>
    <w:p>
      <w:pPr>
        <w:spacing w:before="200" w:after="40"/>
      </w:pPr>
      <w:r>
        <w:rPr>
          <w:b/>
        </w:rPr>
        <w:t xml:space="preserve">SC-03 — Default-deny &amp; trace</w:t>
      </w:r>
    </w:p>
    <w:p>
      <w:pPr>
        <w:ind w:left="426"/>
        <w:spacing w:before="0" w:after="0"/>
      </w:pPr>
      <w:r>
        <w:rPr>
          <w:sz w:val="18"/>
          <w:szCs w:val="18"/>
        </w:rPr>
        <w:t xml:space="preserve">Un scénario visant un groupe inexistant est refusé ;</w:t>
      </w:r>
    </w:p>
    <w:p>
      <w:pPr>
        <w:ind w:left="426"/>
        <w:spacing w:before="0" w:after="0"/>
      </w:pPr>
      <w:r>
        <w:rPr>
          <w:sz w:val="18"/>
          <w:szCs w:val="18"/>
        </w:rPr>
        <w:t xml:space="preserve">chaque évaluation est journalisée</w:t>
      </w:r>
    </w:p>
    <w:p>
      <w:pPr>
        <w:spacing w:before="120" w:after="200"/>
      </w:pPr>
      <w:r>
        <w:rPr/>
        <w:t xml:space="preserve">Serveur de référence : services/cpsi-server-py — suite CPSI bloc 3 11/11 verte (3/3 suites, 29 tests). Démonstrateur : écran « Groupes de population » sous Paramétrage → Règles &amp; moteur — groupes en clair avec prédicat/barème/effectif, scénario AML ciblé dont les seuils par groupe sont éditables, avec le décompte des personnes concernées et des clients hors périmètre jamais évalués. Vérifié de bout en bout sur 204 clients (80 évalués dans le périmètre, 124 hors périmètre). Moteur workflow inchangé : 19/19.</w:t>
      </w:r>
    </w:p>
    <w:p>
      <w:pPr>
        <w:spacing w:before="360" w:after="80"/>
      </w:pPr>
      <w:r>
        <w:rPr>
          <w:b/>
          <w:sz w:val="26"/>
          <w:szCs w:val="26"/>
        </w:rPr>
        <w:t xml:space="preserve">Annexe A — Bibliothèque étendue : dataset enrichi, groupes et scénarios (application de R71–R74)</w:t>
      </w:r>
    </w:p>
    <w:p>
      <w:pPr>
        <w:spacing w:before="120" w:after="80"/>
      </w:pPr>
      <w:r>
        <w:rPr/>
        <w:t xml:space="preserve">Cette annexe étend la bibliothèque du bloc 13 SANS nouvelle règle : le mécanisme (groupes par prédicat composable, barème par groupe, scénarios ciblés à seuils par groupe) est intégralement couvert par R71–R74. Écart signalé au catalogue : extension de données, pas d'invariant nouveau.</w:t>
      </w:r>
    </w:p>
    <w:p>
      <w:pPr>
        <w:spacing w:before="120" w:after="80"/>
      </w:pPr>
      <w:r>
        <w:rPr/>
        <w:t xml:space="preserve">A.1 — Catalogue d'attributs enrichi. Aux attributs statiques (secteur, type, aum_band, pays_risque, pep, score, risk_band, ancienneté, countryCode, aum_chf) s'ajoutent des dimensions comportementales générées de façon déterministe (LCG par identifiant client, reproductible) : activité transactionnelle (transactions par mois, volume mensuel, ratio cash, ratio transfrontalier, nombre de contreparties, score de fractionnement, rapidité in/out, réveil de compte dormant) ; transfer-agent/custody (livraisons franco de paiement, transferts in-specie, règlements de tiers, rotation de titres, concentration sur un titre) ; abus de marché (trades avant annonce, ratio d'annulation d'ordres, wash trades, concentration intraday).</w:t>
      </w:r>
    </w:p>
    <w:p>
      <w:pPr>
        <w:spacing w:before="120" w:after="80"/>
      </w:pPr>
      <w:r>
        <w:rPr/>
        <w:t xml:space="preserve">A.2 — Bibliothèque de groupes (34 groupes, 9 familles). Type d'entité (7), Secteur (4), AUM (4), Juridiction (3), PEP &amp; risque (3), Comportement transactionnel (5), Custody/settlement (3), Abus de marché (3), Combinés (2 : couple UHNWI × secteur, triple PP × offshore × PEP). Chaque groupe expose sa règle d'appartenance en clair ; certains portent un barème propre (offshore, PEP, combinés) ; les autres héritent du barème global.</w:t>
      </w:r>
    </w:p>
    <w:p>
      <w:pPr>
        <w:spacing w:before="120" w:after="80"/>
      </w:pPr>
      <w:r>
        <w:rPr/>
        <w:t xml:space="preserve">A.3 — Bibliothèque de scénarios (14 scénarios, 3 domaines réglementaires). Activité transactionnelle / after-market (LBA/AML) : vélocité, volume, fractionnement, mouvements rapides in/out, concentration transfrontalière, intensité cash. Transfer-agent / custody (contrôle règlement-livraison) : livraisons franco de paiement, transferts in-specie, règlements de tiers, rotation de titres. Abus de marché / MAR (LSFin, conduite de marché) : trades avant annonce (insider), spoofing/layering, wash trades, concentration intraday. Chaque scénario ne s'évalue que sur les membres des groupes qu'il vise, avec un seuil PROPRE à chaque groupe — un même attribut franchit chez un groupe et pas chez un autre. Sur le dataset de démonstration : le scénario custody FOP n'évalue que 23 clients sur 204 (181 hors périmètre), démonstration directe du levier anti-faux-positifs.</w:t>
      </w:r>
    </w:p>
    <w:p>
      <w:pPr>
        <w:spacing w:before="120" w:after="200"/>
      </w:pPr>
      <w:r>
        <w:rPr/>
        <w:t xml:space="preserve">Vérification. Serveur Python CPSI : bloc 4 vert (TX/CU/MA/SPEC), soit 4/4 suites et 36 tests. Démonstrateur : écran « Groupes de population &amp; scénarios ciblés » (Paramétrage → Règles &amp; moteur) — groupes filtrables par famille avec règle/barème/effectif, scénarios filtrables par domaine avec seuils par groupe éditables et décompte périmètre/hits en direct. Vérifié de bout en bout sur 204 clients. Moteur workflow inchangé : 19/19.</w:t>
      </w:r>
    </w:p>
    <w:p>
      <w:pPr>
        <w:spacing w:before="360" w:after="80"/>
      </w:pPr>
      <w:r>
        <w:rPr>
          <w:b/>
          <w:sz w:val="26"/>
          <w:szCs w:val="26"/>
        </w:rPr>
        <w:t xml:space="preserve">Bloc 14 — Marquage insider : liste d'initiés surveillée (R75)</w:t>
      </w:r>
    </w:p>
    <w:p>
      <w:pPr>
        <w:spacing w:before="120" w:after="80"/>
      </w:pPr>
      <w:r>
        <w:rPr/>
        <w:t xml:space="preserve">Ratifiée le 13 juillet 2026 — catalogue R1–R75 intégralement ratifié. Le règlement sur les abus de marché impose de tenir une liste des personnes disposant d'informations privilégiées (liste d'initiés). O-Live matérialise ce statut comme un marqueur porté par le client.</w:t>
      </w:r>
    </w:p>
    <w:p>
      <w:pPr>
        <w:spacing w:before="120" w:after="80"/>
      </w:pPr>
      <w:r>
        <w:rPr/>
        <w:t xml:space="preserve">R75 — Marquage insider. Un client peut être marqué « insider » et inscrit sur la liste d'initiés surveillée. Le marquage est un objet tracé (auteur, date, motif, éventuellement instrument ou émetteur concerné), append-only (R49), réservé aux rôles habilités (compliance, market surveillance) et réversible avec motivation obligatoire. Le statut insider est un attribut porté par le client : il alimente les prédicats de groupe (R71 — groupe « Initiés déclarés ») et le ciblage des scénarios d'abus de marché (R73 — le scénario insider dealing applique un seuil serré aux membres de ce groupe). Comme pour le statut PEP, la pose et la levée sont des actions sensibles ; l'IA peut proposer, l'humain décide (R44).</w:t>
      </w:r>
    </w:p>
    <w:p>
      <w:pPr>
        <w:spacing w:before="200" w:after="40"/>
      </w:pPr>
      <w:r>
        <w:rPr>
          <w:b/>
        </w:rPr>
        <w:t xml:space="preserve">IN-01 — Marquage tracé</w:t>
      </w:r>
    </w:p>
    <w:p>
      <w:pPr>
        <w:ind w:left="426"/>
        <w:spacing w:before="0" w:after="0"/>
      </w:pPr>
      <w:r>
        <w:rPr>
          <w:sz w:val="18"/>
          <w:szCs w:val="18"/>
        </w:rPr>
        <w:t xml:space="preserve">Quand un compliance officer marque un client insider avec un motif</w:t>
      </w:r>
    </w:p>
    <w:p>
      <w:pPr>
        <w:ind w:left="426"/>
        <w:spacing w:before="0" w:after="0"/>
      </w:pPr>
      <w:r>
        <w:rPr>
          <w:sz w:val="18"/>
          <w:szCs w:val="18"/>
        </w:rPr>
        <w:t xml:space="preserve">Alors le statut est posé et l'événement insider_tague journalisé (auteur, motif, instrument)</w:t>
      </w:r>
    </w:p>
    <w:p>
      <w:pPr>
        <w:spacing w:before="200" w:after="40"/>
      </w:pPr>
      <w:r>
        <w:rPr>
          <w:b/>
        </w:rPr>
        <w:t xml:space="preserve">IN-02 — Réservé &amp; motivé</w:t>
      </w:r>
    </w:p>
    <w:p>
      <w:pPr>
        <w:ind w:left="426"/>
        <w:spacing w:before="0" w:after="0"/>
      </w:pPr>
      <w:r>
        <w:rPr>
          <w:sz w:val="18"/>
          <w:szCs w:val="18"/>
        </w:rPr>
        <w:t xml:space="preserve">Un rôle non habilité est refusé ; un motif vide est refusé (default-deny)</w:t>
      </w:r>
    </w:p>
    <w:p>
      <w:pPr>
        <w:spacing w:before="200" w:after="40"/>
      </w:pPr>
      <w:r>
        <w:rPr>
          <w:b/>
        </w:rPr>
        <w:t xml:space="preserve">IN-03 — Réversible</w:t>
      </w:r>
    </w:p>
    <w:p>
      <w:pPr>
        <w:ind w:left="426"/>
        <w:spacing w:before="0" w:after="0"/>
      </w:pPr>
      <w:r>
        <w:rPr>
          <w:sz w:val="18"/>
          <w:szCs w:val="18"/>
        </w:rPr>
        <w:t xml:space="preserve">La levée du statut exige une motivation ; sans elle, elle est refusée</w:t>
      </w:r>
    </w:p>
    <w:p>
      <w:pPr>
        <w:spacing w:before="200" w:after="40"/>
      </w:pPr>
      <w:r>
        <w:rPr>
          <w:b/>
        </w:rPr>
        <w:t xml:space="preserve">IN-04 — Alimente un groupe</w:t>
      </w:r>
    </w:p>
    <w:p>
      <w:pPr>
        <w:ind w:left="426"/>
        <w:spacing w:before="0" w:after="0"/>
      </w:pPr>
      <w:r>
        <w:rPr>
          <w:sz w:val="18"/>
          <w:szCs w:val="18"/>
        </w:rPr>
        <w:t xml:space="preserve">Le groupe « insider = vrai » a pour membres exactement les initiés déclarés</w:t>
      </w:r>
    </w:p>
    <w:p>
      <w:pPr>
        <w:spacing w:before="200" w:after="40"/>
      </w:pPr>
      <w:r>
        <w:rPr>
          <w:b/>
        </w:rPr>
        <w:t xml:space="preserve">IN-05 — Cible un scénario</w:t>
      </w:r>
    </w:p>
    <w:p>
      <w:pPr>
        <w:ind w:left="426"/>
        <w:spacing w:before="0" w:after="0"/>
      </w:pPr>
      <w:r>
        <w:rPr>
          <w:sz w:val="18"/>
          <w:szCs w:val="18"/>
        </w:rPr>
        <w:t xml:space="preserve">Le scénario insider dealing ciblant ce groupe n'évalue que les initiés déclarés</w:t>
      </w:r>
    </w:p>
    <w:p>
      <w:pPr>
        <w:spacing w:before="200" w:after="40"/>
      </w:pPr>
      <w:r>
        <w:rPr>
          <w:b/>
        </w:rPr>
        <w:t xml:space="preserve">IN-06 — Append-only</w:t>
      </w:r>
    </w:p>
    <w:p>
      <w:pPr>
        <w:ind w:left="426"/>
        <w:spacing w:before="0" w:after="0"/>
      </w:pPr>
      <w:r>
        <w:rPr>
          <w:sz w:val="18"/>
          <w:szCs w:val="18"/>
        </w:rPr>
        <w:t xml:space="preserve">Marquage puis levée sont tous deux conservés dans l'historique — rien n'est écrasé</w:t>
      </w:r>
    </w:p>
    <w:p>
      <w:pPr>
        <w:spacing w:before="120" w:after="200"/>
      </w:pPr>
      <w:r>
        <w:rPr/>
        <w:t xml:space="preserve">Vérification. Serveur Python CPSI : bloc 5 vert (IN-01..06), soit 5/5 suites et 42 tests. Démonstrateur : carte « Liste d'initiés surveillés (MAR) » dans la vue Profilage CPSI (Compliance) — marquage réservé aux rôles habilités, tag/levée tracés au journal et à PARAM_AUDIT, groupe « Initiés déclarés » visible dans la famille Abus de marché du paramétrage, scénario insider dealing à seuil serré (1). Vérifié de bout en bout. Moteur workflow inchangé : 19/19.</w:t>
      </w:r>
    </w:p>
    <w:p>
      <w:pPr>
        <w:spacing w:before="360" w:after="80"/>
      </w:pPr>
      <w:r>
        <w:rPr>
          <w:b/>
          <w:sz w:val="26"/>
          <w:szCs w:val="26"/>
        </w:rPr>
        <w:t xml:space="preserve">Bloc 15 — Cases d'investigation depuis les scénarios (R76)</w:t>
      </w:r>
    </w:p>
    <w:p>
      <w:pPr>
        <w:spacing w:before="120" w:after="80"/>
      </w:pPr>
      <w:r>
        <w:rPr/>
        <w:t xml:space="preserve">Ratifiée le 13 juillet 2026 — catalogue R1–R76 intégralement ratifié. Ce bloc relie la bibliothèque de scénarios au workflow d'investigation : les hits deviennent des cases réelles.</w:t>
      </w:r>
    </w:p>
    <w:p>
      <w:pPr>
        <w:spacing w:before="120" w:after="80"/>
      </w:pPr>
      <w:r>
        <w:rPr/>
        <w:t xml:space="preserve">R76 — Un hit de scénario devient une alerte/case tracée alimentant le workflow. Chaque franchissement de seuil ouvre une case d'investigation (identifiant, scénario, client, groupe, valeur, seuil, sévérité, statut) — rien par effet de bord (R66). La génération est idempotente : un même couple (scénario, client) ne rouvre pas de doublon. Une case se décide : clôture (motif obligatoire — faux positif), escalade (EDD / annonce MROS), déclenchement de révision KYC (alimente le dossier), demande de clarification. Chaque décision est journalisée (auteur, motif, date) ; l'escalade et la révision KYC sont des décisions humaines (R44). Les cases apparaissent dans l'onglet « Cases CPSI » de l'AML Investigation Workspace.</w:t>
      </w:r>
    </w:p>
    <w:p>
      <w:pPr>
        <w:spacing w:before="180" w:after="40"/>
      </w:pPr>
      <w:r>
        <w:rPr>
          <w:b/>
        </w:rPr>
        <w:t xml:space="preserve">CASE-01 — Génération tracée</w:t>
      </w:r>
    </w:p>
    <w:p>
      <w:pPr>
        <w:ind w:left="426"/>
        <w:spacing w:before="0" w:after="0"/>
      </w:pPr>
      <w:r>
        <w:rPr>
          <w:sz w:val="18"/>
          <w:szCs w:val="18"/>
        </w:rPr>
        <w:t xml:space="preserve">Un hit ouvre une case NOUVELLE avec sévérité calculée et événement case_ouverte</w:t>
      </w:r>
    </w:p>
    <w:p>
      <w:pPr>
        <w:spacing w:before="180" w:after="40"/>
      </w:pPr>
      <w:r>
        <w:rPr>
          <w:b/>
        </w:rPr>
        <w:t xml:space="preserve">CASE-02 — Idempotence</w:t>
      </w:r>
    </w:p>
    <w:p>
      <w:pPr>
        <w:ind w:left="426"/>
        <w:spacing w:before="0" w:after="0"/>
      </w:pPr>
      <w:r>
        <w:rPr>
          <w:sz w:val="18"/>
          <w:szCs w:val="18"/>
        </w:rPr>
        <w:t xml:space="preserve">Regénérer n'ouvre pas de doublon pour un même scénario/client</w:t>
      </w:r>
    </w:p>
    <w:p>
      <w:pPr>
        <w:spacing w:before="180" w:after="40"/>
      </w:pPr>
      <w:r>
        <w:rPr>
          <w:b/>
        </w:rPr>
        <w:t xml:space="preserve">CASE-03 — Décisions</w:t>
      </w:r>
    </w:p>
    <w:p>
      <w:pPr>
        <w:ind w:left="426"/>
        <w:spacing w:before="0" w:after="0"/>
      </w:pPr>
      <w:r>
        <w:rPr>
          <w:sz w:val="18"/>
          <w:szCs w:val="18"/>
        </w:rPr>
        <w:t xml:space="preserve">Clôture sans motif refusée ; escalade et révision KYC alimentent le workflow ; action inconnue refusée</w:t>
      </w:r>
    </w:p>
    <w:p>
      <w:pPr>
        <w:spacing w:before="180" w:after="40"/>
      </w:pPr>
      <w:r>
        <w:rPr>
          <w:b/>
        </w:rPr>
        <w:t xml:space="preserve">CASE-04 — Append-only</w:t>
      </w:r>
    </w:p>
    <w:p>
      <w:pPr>
        <w:ind w:left="426"/>
        <w:spacing w:before="0" w:after="0"/>
      </w:pPr>
      <w:r>
        <w:rPr>
          <w:sz w:val="18"/>
          <w:szCs w:val="18"/>
        </w:rPr>
        <w:t xml:space="preserve">Ouverture puis décisions conservées dans l'historique (R49)</w:t>
      </w:r>
    </w:p>
    <w:p>
      <w:pPr>
        <w:spacing w:before="300" w:after="80"/>
      </w:pPr>
      <w:r>
        <w:rPr>
          <w:b/>
          <w:sz w:val="24"/>
          <w:szCs w:val="24"/>
        </w:rPr>
        <w:t xml:space="preserve">Annexe B — Familles de scénarios transferts et post-marché / trading (application de R71–R76).</w:t>
      </w:r>
    </w:p>
    <w:p>
      <w:pPr>
        <w:spacing w:before="120" w:after="80"/>
      </w:pPr>
      <w:r>
        <w:rPr/>
        <w:t xml:space="preserve">Extension de la bibliothèque, sans nouvelle règle. La bibliothèque compte désormais 42 groupes (11 familles) et 24 scénarios répartis sur cinq domaines réglementaires. Transferts &amp; correspondances : virements vers juridictions à risque, pass-through entrée/sortie même jour, virements vers tiers non liés, virements structurés sous seuil, comptes entonnoir (funnel). Post-marché &amp; trading : trading en titres illiquides, rotation excessive (churning), cross trades entre comptes liés, marquage de clôture (marking the close), transactions à prix hors marché. Attributs comportementaux correspondants ajoutés au dataset (déterministes, LCG). Éditeur visuel de prédicats : un groupe peut être créé depuis l'interface (nom, famille, priorité, logique ET/OU, conditions champ/opérateur/valeur), tracé (R74) et immédiatement disponible pour les scénarios.</w:t>
      </w:r>
    </w:p>
    <w:p>
      <w:pPr>
        <w:spacing w:before="120" w:after="200"/>
      </w:pPr>
      <w:r>
        <w:rPr/>
        <w:t xml:space="preserve">Vérification. Serveur Python CPSI : bloc 6 vert (CASE-01..04, TR-01, PM-01), soit 6/6 suites et 48 tests. Démonstrateur vérifié de bout en bout : onglet Cases CPSI (232 cases générées sur le dataset, escalade/clôture motivée/révision KYC tracées) et éditeur de prédicats (création de groupe depuis l'UI). Moteur workflow inchangé : 19/19.</w:t>
      </w:r>
    </w:p>
    <w:p>
      <w:pPr>
        <w:spacing w:before="340" w:after="80"/>
      </w:pPr>
      <w:r>
        <w:rPr>
          <w:b/>
          <w:sz w:val="24"/>
          <w:szCs w:val="24"/>
        </w:rPr>
        <w:t xml:space="preserve">Annexe C — Change of Circumstances exhaustif &amp; pump-and-dump toutes classes (application, sans nouvelle règle)</w:t>
      </w:r>
    </w:p>
    <w:p>
      <w:pPr>
        <w:spacing w:before="120" w:after="80"/>
      </w:pPr>
      <w:r>
        <w:rPr/>
        <w:t xml:space="preserve">C.1 — Taxonomie CoC exhaustive (59 types, éditeur ouvert). Le Change of Circumstances couvre désormais l'ensemble des événements du cycle de vie susceptibles de modifier le profil client. Identité &amp; personne : adresse, téléphone, e-mail, nationalité, changement de nom, état civil, profession, employeur, décès, incapacité, tutelle/curatelle, succession/héritage, permis de séjour, citoyenneté par investissement. Structure &amp; contrôle : dénomination, forme juridique, siège, ayant droit économique (UBO), signataires/procuration, administrateurs, fusion, modification du capital, cession de parts, société de domicile vs opérationnelle, bénéficiaire (trust/fondation/assurance), statut Qualified Intermediary. Patrimoine &amp; activité : source de fortune, source des fonds, variation d'AUM, objectif d'investissement, activité/secteur, type de mandat, gérant externe, banque dépositaire, défaut/appel de marge Lombard, régularisation fiscale, wallet crypto lié, réactivation de compte dormant. Réglementaire &amp; risque : statut PEP, CRS/FATCA, résidence fiscale, exposition sanctions, risque pays d'origine, médias défavorables, nouvelle défavorable sur partie liée, gel d'avoirs, litige, action réglementaire, faillite, controverse ESG, expiration de documents, demande FINMA/MROS, transaction inhabituelle, alerte AML, changement de comportement transactionnel. Chaque type porte une matérialité (LOW / MEDIUM / HIGH), une action (validation par un rôle, ou déclenchement d'une révision KYC) et un rôle responsable — tout paramétrable. Sur la configuration par défaut, 33 types déclenchent une révision KYC et 27 sont validés par un rôle. L'écran « CoC — Types &amp; sensibilité » permet d'ajouter un type depuis l'interface (libellé, matérialité, action, rôle), tracé au journal.</w:t>
      </w:r>
    </w:p>
    <w:p>
      <w:pPr>
        <w:spacing w:before="120" w:after="80"/>
      </w:pPr>
      <w:r>
        <w:rPr/>
        <w:t xml:space="preserve">C.2 — Pump-and-dump, toutes classes d'actifs. Le dataset porte une classe d'actifs dominante par client (actions, obligations, crypto, produits structurés, fonds/ETF, penny stocks, matières premières, FX/dérivés) et un score composite pump-and-dump (accumulation rapide, concentration, illiquidité) amplifié pour les classes peu liquides. Chaque classe forme un groupe ; le scénario pump-and-dump applique un seuil PROPRE à chaque classe — serré pour les classes illiquides (crypto, penny : 40), tolérant pour les liquides (obligations : 80) — de sorte qu'un même score déclenche ou non selon la classe. Sur le dataset, 53 hits répartis sur les classes concernées, périmètre couvrant les huit classes.</w:t>
      </w:r>
    </w:p>
    <w:p>
      <w:pPr>
        <w:spacing w:before="120" w:after="200"/>
      </w:pPr>
      <w:r>
        <w:rPr/>
        <w:t xml:space="preserve">Vérification. Serveur Python CPSI : bloc 7 vert (PD-01..03), soit 7/7 suites et 51 tests. Démonstrateur vérifié de bout en bout : 59 types de CoC affichés et éditeur d'ajout fonctionnel ; scénario pump-and-dump ciblant les huit classes avec seuils par classe. Aucune nouvelle règle — application de R71–R76 (groupes, seuils par groupe) et du paramétrage CoC gouverné. Moteur workflow inchangé : 19/19.</w:t>
      </w:r>
    </w:p>
    <w:p>
      <w:pPr>
        <w:spacing w:before="360" w:after="80"/>
      </w:pPr>
      <w:r>
        <w:rPr>
          <w:b/>
          <w:sz w:val="24"/>
          <w:szCs w:val="24"/>
        </w:rPr>
        <w:t xml:space="preserve">Annexe D — Bibliothèque de scénarios AML organisée par domaine (application R71–R76)</w:t>
      </w:r>
    </w:p>
    <w:p>
      <w:pPr>
        <w:spacing w:before="120" w:after="80"/>
      </w:pPr>
      <w:r>
        <w:rPr/>
        <w:t xml:space="preserve">La bibliothèque de scénarios est désormais structurée en six domaines réglementaires, chaque scénario portant un descriptif (typologie + contexte) affiché à l'écran et au survol, un attribut surveillé, et un seuil PROPRE à chaque groupe de population ciblé. 31 scénarios, 51 groupes. Extension de bibliothèque, sans nouvelle règle.</w:t>
      </w:r>
    </w:p>
    <w:p>
      <w:pPr>
        <w:spacing w:before="180" w:after="30"/>
      </w:pPr>
      <w:r>
        <w:rPr>
          <w:b/>
        </w:rPr>
        <w:t xml:space="preserve">Domaine 1 — Cash &amp; espèces (LBA, placement/intégration)</w:t>
      </w:r>
    </w:p>
    <w:p>
      <w:pPr>
        <w:ind w:left="426"/>
        <w:spacing w:before="0" w:after="0"/>
      </w:pPr>
      <w:r>
        <w:rPr>
          <w:sz w:val="18"/>
          <w:szCs w:val="18"/>
        </w:rPr>
        <w:t xml:space="preserve">Fractionnement (structuring) · intensité cash · dépôts espèces importants · retraits espèces importants</w:t>
      </w:r>
    </w:p>
    <w:p>
      <w:pPr>
        <w:spacing w:before="180" w:after="30"/>
      </w:pPr>
      <w:r>
        <w:rPr>
          <w:b/>
        </w:rPr>
        <w:t xml:space="preserve">Domaine 2 — Transferts &amp; transfer agent (flux, règlement-livraison)</w:t>
      </w:r>
    </w:p>
    <w:p>
      <w:pPr>
        <w:ind w:left="426"/>
        <w:spacing w:before="0" w:after="0"/>
      </w:pPr>
      <w:r>
        <w:rPr>
          <w:sz w:val="18"/>
          <w:szCs w:val="18"/>
        </w:rPr>
        <w:t xml:space="preserve">Virements juridictions à risque · pass-through même jour · virements tiers · virements structurés · funnel · FOP · in-specie · règlements de tiers · rotation de titres</w:t>
      </w:r>
    </w:p>
    <w:p>
      <w:pPr>
        <w:spacing w:before="180" w:after="30"/>
      </w:pPr>
      <w:r>
        <w:rPr>
          <w:b/>
        </w:rPr>
        <w:t xml:space="preserve">Domaine 3 — Activité transactionnelle (transaction monitoring)</w:t>
      </w:r>
    </w:p>
    <w:p>
      <w:pPr>
        <w:ind w:left="426"/>
        <w:spacing w:before="0" w:after="0"/>
      </w:pPr>
      <w:r>
        <w:rPr>
          <w:sz w:val="18"/>
          <w:szCs w:val="18"/>
        </w:rPr>
        <w:t xml:space="preserve">Vélocité · volume inhabituel · mouvements rapides in/out · concentration transfrontalière</w:t>
      </w:r>
    </w:p>
    <w:p>
      <w:pPr>
        <w:spacing w:before="180" w:after="30"/>
      </w:pPr>
      <w:r>
        <w:rPr>
          <w:b/>
        </w:rPr>
        <w:t xml:space="preserve">Domaine 4 — Trading &amp; marchés (activité de marché)</w:t>
      </w:r>
    </w:p>
    <w:p>
      <w:pPr>
        <w:ind w:left="426"/>
        <w:spacing w:before="0" w:after="0"/>
      </w:pPr>
      <w:r>
        <w:rPr>
          <w:sz w:val="18"/>
          <w:szCs w:val="18"/>
        </w:rPr>
        <w:t xml:space="preserve">Titres illiquides · churning · cross trades comptes liés</w:t>
      </w:r>
    </w:p>
    <w:p>
      <w:pPr>
        <w:spacing w:before="180" w:after="30"/>
      </w:pPr>
      <w:r>
        <w:rPr>
          <w:b/>
        </w:rPr>
        <w:t xml:space="preserve">Domaine 5 — Capital markets / CIB (investissement en capital)</w:t>
      </w:r>
    </w:p>
    <w:p>
      <w:pPr>
        <w:ind w:left="426"/>
        <w:spacing w:before="0" w:after="0"/>
      </w:pPr>
      <w:r>
        <w:rPr>
          <w:sz w:val="18"/>
          <w:szCs w:val="18"/>
        </w:rPr>
        <w:t xml:space="preserve">Appels de capitaux atypiques · placements privés non cotés · flux IPO/pre-IPO · investissements non cotés / SPV</w:t>
      </w:r>
    </w:p>
    <w:p>
      <w:pPr>
        <w:spacing w:before="180" w:after="30"/>
      </w:pPr>
      <w:r>
        <w:rPr>
          <w:b/>
        </w:rPr>
        <w:t xml:space="preserve">Domaine 6 — Abus de marché (MAR / LSFin)</w:t>
      </w:r>
    </w:p>
    <w:p>
      <w:pPr>
        <w:ind w:left="426"/>
        <w:spacing w:before="0" w:after="0"/>
      </w:pPr>
      <w:r>
        <w:rPr>
          <w:sz w:val="18"/>
          <w:szCs w:val="18"/>
        </w:rPr>
        <w:t xml:space="preserve">Insider dealing · spoofing/layering · wash trades · concentration intraday · marking the close · prix hors marché · pump &amp; dump toutes classes</w:t>
      </w:r>
    </w:p>
    <w:p>
      <w:pPr>
        <w:spacing w:before="120" w:after="80"/>
      </w:pPr>
      <w:r>
        <w:rPr/>
        <w:t xml:space="preserve">Écran de fine-tuning. Chaque scénario expose, dans « Groupes de population &amp; scénarios ciblés » (Paramétrage → Règles &amp; moteur), ses groupes visés, l'effectif de chacun, le seuil éditable par groupe et le décompte périmètre/hits en direct. Le nom du scénario porte un descriptif au survol et un encart de contexte sous le titre. Les hits alimentent les cases d'investigation (R76).</w:t>
      </w:r>
    </w:p>
    <w:p>
      <w:pPr>
        <w:spacing w:before="120" w:after="200"/>
      </w:pPr>
      <w:r>
        <w:rPr/>
        <w:t xml:space="preserve">Vérification. Serveur Python CPSI : bloc 8 vert (CASH-01..02, CIB-01..02), soit 8/8 suites et 55 tests. Démonstrateur vérifié de bout en bout : six domaines, 31 scénarios tous décrits, affichage du descriptif et survol, nouveaux domaines cash et capital markets opérationnels. Moteur workflow inchangé : 19/19.</w:t>
      </w:r>
    </w:p>
    <w:p>
      <w:pPr>
        <w:spacing w:before="360" w:after="80"/>
      </w:pPr>
      <w:r>
        <w:rPr>
          <w:b/>
          <w:sz w:val="26"/>
          <w:szCs w:val="26"/>
        </w:rPr>
        <w:t xml:space="preserve">Bloc 16 — Séparation Screening / AML (R77) &amp; bac à sable AML</w:t>
      </w:r>
    </w:p>
    <w:p>
      <w:pPr>
        <w:spacing w:before="120" w:after="80"/>
      </w:pPr>
      <w:r>
        <w:rPr/>
        <w:t xml:space="preserve">Ratifiée le 13 juillet 2026 — catalogue R1–R77 intégralement ratifié.</w:t>
      </w:r>
    </w:p>
    <w:p>
      <w:pPr>
        <w:spacing w:before="120" w:after="80"/>
      </w:pPr>
      <w:r>
        <w:rPr/>
        <w:t xml:space="preserve">R77 — Séparation des domaines Screening et AML. Le screening (rapprochement de listes : sanctions OFAC/SECO, PEP, médias défavorables, via LSEG/Dow Jones/ComplyAdvantage) et la surveillance AML comportementale (scénarios de transaction, transfert, trading, capital markets, abus de marché) sont deux domaines distincts. Un hit de screening n'est PAS une alerte AML. L'écran AML Investigation présente par défaut les alertes AML issues des scénarios (comportementales) ; les hits de screening sont regroupés sous un onglet « Screening (listes) » clairement identifié et relèvent du module Screening. Le paramétrage de la bibliothèque de scénarios (activation, seuils par groupe, bac à sable) réside exclusivement dans le menu Paramétrage → Scénarios AML &amp; groupes, jamais dans l'écran opérationnel. Enforcement au niveau produit (UI/domaines) — signalé comme tel.</w:t>
      </w:r>
    </w:p>
    <w:p>
      <w:pPr>
        <w:spacing w:before="120" w:after="80"/>
      </w:pPr>
      <w:r>
        <w:rPr/>
        <w:t xml:space="preserve">Bac à sable AML (application de R70). Un bac à sable réel, dans Paramétrage, simule toute la bibliothèque de scénarios contre la population en dry-run : il projette le volume d'alertes par domaine et par sévérité, avec un curseur de sensibilité qui multiplie tous les seuils et recalcule en direct — SANS créer aucune case ni muter l'état (ni les scénarios). Invariant vérifié : le nombre de cases est inchangé avant/après simulation.</w:t>
      </w:r>
    </w:p>
    <w:p>
      <w:pPr>
        <w:spacing w:before="180" w:after="40"/>
      </w:pPr>
      <w:r>
        <w:rPr>
          <w:b/>
        </w:rPr>
        <w:t xml:space="preserve">SIM-01 — Dry-run</w:t>
      </w:r>
    </w:p>
    <w:p>
      <w:pPr>
        <w:ind w:left="426"/>
        <w:spacing w:before="0" w:after="0"/>
      </w:pPr>
      <w:r>
        <w:rPr>
          <w:sz w:val="18"/>
          <w:szCs w:val="18"/>
        </w:rPr>
        <w:t xml:space="preserve">La simulation projette des hits mais ne crée aucune case</w:t>
      </w:r>
    </w:p>
    <w:p>
      <w:pPr>
        <w:spacing w:before="180" w:after="40"/>
      </w:pPr>
      <w:r>
        <w:rPr>
          <w:b/>
        </w:rPr>
        <w:t xml:space="preserve">SIM-02 — Sensibilité</w:t>
      </w:r>
    </w:p>
    <w:p>
      <w:pPr>
        <w:ind w:left="426"/>
        <w:spacing w:before="0" w:after="0"/>
      </w:pPr>
      <w:r>
        <w:rPr>
          <w:sz w:val="18"/>
          <w:szCs w:val="18"/>
        </w:rPr>
        <w:t xml:space="preserve">Un facteur &lt; 1 abaisse les seuils et augmente les alertes projetées</w:t>
      </w:r>
    </w:p>
    <w:p>
      <w:pPr>
        <w:spacing w:before="180" w:after="40"/>
      </w:pPr>
      <w:r>
        <w:rPr>
          <w:b/>
        </w:rPr>
        <w:t xml:space="preserve">SIM-03 — Pas de mutation</w:t>
      </w:r>
    </w:p>
    <w:p>
      <w:pPr>
        <w:ind w:left="426"/>
        <w:spacing w:before="0" w:after="0"/>
      </w:pPr>
      <w:r>
        <w:rPr>
          <w:sz w:val="18"/>
          <w:szCs w:val="18"/>
        </w:rPr>
        <w:t xml:space="preserve">Les seuils des scénarios sont restaurés ; le vrai run crée bien les cases</w:t>
      </w:r>
    </w:p>
    <w:p>
      <w:pPr>
        <w:spacing w:before="120" w:after="200"/>
      </w:pPr>
      <w:r>
        <w:rPr/>
        <w:t xml:space="preserve">Vérification. Serveur Python CPSI : bloc 9 vert (SIM-01..03), soit 9/9 suites et 58 tests. Démonstrateur vérifié de bout en bout : bandeau de séparation des domaines, alertes AML (scénarios) auto-générées par défaut, onglet Screening (listes) distinct (sanctions/PEP/OFAC), pointeur vers Paramétrage, bac à sable dry-run (576 alertes projetées sur le dataset, 0 case créée, curseur de sensibilité). Moteur workflow inchangé : 19/19.</w:t>
      </w:r>
    </w:p>
    <w:p>
      <w:pPr>
        <w:spacing w:before="360" w:after="80"/>
      </w:pPr>
      <w:r>
        <w:rPr>
          <w:b/>
          <w:sz w:val="26"/>
          <w:szCs w:val="26"/>
        </w:rPr>
        <w:t xml:space="preserve">Bloc 17 — Anatomie d'une section (R78) &amp; Référentiel des scénarios AML</w:t>
      </w:r>
    </w:p>
    <w:p>
      <w:pPr>
        <w:spacing w:before="120" w:after="80"/>
      </w:pPr>
      <w:r>
        <w:rPr/>
        <w:t xml:space="preserve">Ratifié le 13 juillet 2026 — le catalogue passe à R1–R78.</w:t>
      </w:r>
    </w:p>
    <w:p>
      <w:pPr>
        <w:spacing w:before="120" w:after="80"/>
      </w:pPr>
      <w:r>
        <w:rPr/>
        <w:t xml:space="preserve">R78 — Anatomie d'une section (KYC / Account Review / Grouped AR). Une section n'est pas réductible à son visa. C'est un objet complet, composé de : (1) un questionnaire — l'ensemble ordonné de questions/champs de la section ; (2) des droits par rôle sur ce questionnaire — pour chaque rôle, un mode d'accès parmi Masqué / Lecture / Écriture / Requis ; (3) un préparateur (owner) — le rôle responsable du remplissage de la section ; (4) un validateur — le visa de la section, apposé par un rôle nommé (R2), exclusion 4-yeux au niveau section (R13), avec remplaçant (R4) ; (5) un échange — une messagerie entre intervenants tracée, support des demandes de clarification. Ces cinq facettes sont motorisées par un workflow : le workflow gouverne l'enchaînement (le préparateur remplit, l'échange trace les clarifications, le validateur appose le visa à la phase prévue, l'ordre des phases est contraint). Le Section Designer expose et paramètre l'ensemble de ces facettes, pas seulement le visa. Le paramétrage fin des champs reste dans Paramétrage → Champs &amp; droits ; le questionnaire dans le Questionnaire Builder ; une seule vérité par facette.</w:t>
      </w:r>
    </w:p>
    <w:p>
      <w:pPr>
        <w:spacing w:before="120" w:after="80"/>
      </w:pPr>
      <w:r>
        <w:rPr/>
        <w:t xml:space="preserve">Scénarios de référence : V-01 à V-17 (visas, préparateur, refus motivé, 4-yeux section) restent applicables ; ils décrivent la mécanique de visa d'une section, désormais comprise comme une facette de l'objet section (R78) et non son tout.</w:t>
      </w:r>
    </w:p>
    <w:p>
      <w:pPr>
        <w:spacing w:before="120" w:after="80"/>
      </w:pPr>
      <w:r>
        <w:rPr/>
        <w:t xml:space="preserve">Référentiel des scénarios AML (application de R70, R73, R76 — pas de nouvelle règle). L'écran Paramétrage → Scénarios AML &amp; groupes présente, par défaut, un référentiel : une ligne par scénario de la bibliothèque, avec son domaine, l'attribut surveillé, les groupes ciblés, et les alertes générées sur la population (total, ventilation HIGH / MEDIUM). Le total du référentiel est, par construction, égal au nombre de cases d'investigation ouvertes par un run réel (R76) : le référentiel n'est pas une estimation, c'est la même évaluation présentée par scénario. Cliquer un scénario ouvre son détail (seuils par groupe, éditables). L'écran AML Investigation permet de filtrer les alertes par scénario (mêmes domaines, mêmes 31 scénarios). Alertes par scénario, cases par hit : rien par effet de bord (R66), clôture motivée, escalade décidée par un humain (R44).</w:t>
      </w:r>
    </w:p>
    <w:p>
      <w:pPr>
        <w:spacing w:before="120" w:after="80"/>
      </w:pPr>
      <w:r>
        <w:rPr/>
        <w:t xml:space="preserve">Cohérence code / catalogue : la bibliothèque compte à ce jour 31 scénarios sur 6 domaines (cash &amp; espèces, transferts &amp; transfer agent, activité transactionnelle, trading &amp; marchés, capital markets / CIB, abus de marché). Le référentiel calcule 576 alertes (230 HIGH + 346 MEDIUM) sur le jeu de démonstration ; un seul scénario (transactions hors marché) est sans alerte sur ce jeu. Ces chiffres dépendent du dataset et se recalculent à chaque évaluation.</w:t>
      </w:r>
    </w:p>
    <w:p>
      <w:pPr>
        <w:spacing w:before="360" w:after="80"/>
      </w:pPr>
      <w:r>
        <w:rPr>
          <w:b/>
          <w:sz w:val="26"/>
          <w:szCs w:val="26"/>
        </w:rPr>
        <w:t xml:space="preserve">Bloc 18 — Alerte scorée, dédup/corrélation &amp; rétroaction faux-positif (R80–R82)</w:t>
      </w:r>
    </w:p>
    <w:p>
      <w:pPr>
        <w:spacing w:before="120" w:after="80"/>
      </w:pPr>
      <w:r>
        <w:rPr/>
        <w:t xml:space="preserve">Ratifiés le 13 juillet 2026 — le catalogue passe à R1–R82. Ces règles refondent la notion d'alerte AML : une alerte n'est plus un simple franchissement de seuil, mais un signal scoré et gouverné.</w:t>
      </w:r>
    </w:p>
    <w:p>
      <w:pPr>
        <w:spacing w:before="120" w:after="80"/>
      </w:pPr>
      <w:r>
        <w:rPr/>
        <w:t xml:space="preserve">R80 — Alerte = signal scoré franchissant un seuil paramétrable X. Pour un couple (client, scénario), le moteur calcule un score d'alerte combinant l'impact (ampleur du franchissement, borné 0-100 ; un critère booléen vrai vaut 100) et la fréquence (récurrence du franchissement dans le temps, bornée 0-100), pondérés (par défaut 0,6 impact / 0,4 fréquence — paramétrable). Ce score est comparé à un seuil X paramétrable (tenant, et par scénario). Si score ≥ X : ALERTE (traitée comme case d'investigation). Si score &lt; X : ANALYSE non aboutie — ce n'est pas une alerte. La bande [X − marge, X) est un NEAR-MISS : une analyse qui a frôlé l'alerte, signal d'attention. On peut filtrer l'affichage entre alertes et analyses. Le score et sa décomposition (impact, fréquence, seuil) sont explicables (R67) ; rien ne devient case par effet de bord (R66).</w:t>
      </w:r>
    </w:p>
    <w:p>
      <w:pPr>
        <w:spacing w:before="120" w:after="80"/>
      </w:pPr>
      <w:r>
        <w:rPr/>
        <w:t xml:space="preserve">R81 — Déduplication et corrélation. Déduplication : plusieurs franchissements d'un même (client, scénario), y compris via plusieurs groupes cibles, produisent UN seul signal (impact retenu = maximum). On n'ouvre pas non plus de nouvelle alerte pour un (client, scénario) déjà en cours. Corrélation : lorsqu'un même client est touché par au moins deux scénarios distincts (par exemple « réveil de compte dormant » ET « dépassement de seuil »), leurs alertes sont liées en un groupe corrélé — candidat naturel à une seule investigation / un seul risk case, car elles pointent souvent le même phénomène sous-jacent (les mêmes transactions).</w:t>
      </w:r>
    </w:p>
    <w:p>
      <w:pPr>
        <w:spacing w:before="120" w:after="80"/>
      </w:pPr>
      <w:r>
        <w:rPr/>
        <w:t xml:space="preserve">R82 — Rétroaction faux-positif (suppression apprenante), désactivable. Lorsqu'un compliance officer déclare une alerte faux positif pour un couple (client, scénario), une pénalité de score s'accumule pour ce couple : −10 au premier faux positif, −20 au deuxième (cumul −30), −10×n au n-ième. Cette pénalité est soustraite du score d'alerte des futurs signaux de ce couple : le bruit répétitif repasse sous X et devient une simple analyse, ce qui évite qu'un même client ne regénère indéfiniment les mêmes faux positifs. Le mécanisme est désactivable (paramètre tenant) et chaque déclaration est tracée (append-only : qui, quand, incrément, cumul). La décision de qualifier un faux positif reste humaine (R44).</w:t>
      </w:r>
    </w:p>
    <w:p>
      <w:pPr>
        <w:spacing w:before="120" w:after="80"/>
      </w:pPr>
      <w:r>
        <w:rPr/>
        <w:t xml:space="preserve">R82 — Garde-fou anti-angle-mort (impératif de conformité). La pénalité est une soustraction de score, NON un mute dur : un signal suffisamment fort (impact élevé) ou suffisamment fréquent recroise le seuil X et lève à nouveau une alerte malgré les faux positifs passés. Ce choix de conception est délibéré — un dispositif qui éteindrait définitivement un couple (client, scénario) après quelques faux positifs constituerait un défaut de vigilance opposable (FINMA/LBA). La suppression réduit le bruit ; elle ne crée pas d'angle mort. La pénalité est en outre bornée au couple (client, scénario) et n'affecte jamais les autres scénarios ni les autres clients.</w:t>
      </w:r>
    </w:p>
    <w:p>
      <w:pPr>
        <w:spacing w:before="120" w:after="80"/>
      </w:pPr>
      <w:r>
        <w:rPr/>
        <w:t xml:space="preserve">Reste à câbler (interface, non encore livré) : portage JS du moteur scoré ; écran AML Investigation présentant les signaux scorés (alertes / near-miss / analyses, filtrables), le bouton « faux positif » (R82), le drill-down des transactions impliquées, le rattachement à un risk case animé par un workflow (documentation de l'analyse), le reporting des alertes et la mesure du délai de traitement (du hit au SAR/MROS). Ces éléments seront ajoutés après leurs tests, conformément à la méthode.</w:t>
      </w:r>
    </w:p>
    <w:p>
      <w:pPr>
        <w:pStyle w:val="Heading1"/>
      </w:pPr>
      <w:r>
        <w:t xml:space="preserve">Bloc 19 — Risk case animé par workflow (R83)</w:t>
      </w:r>
    </w:p>
    <w:p>
      <w:r>
        <w:rPr>
          <w:b/>
        </w:rPr>
        <w:t xml:space="preserve">R83 — Risk case d'investigation animé par un workflow.</w:t>
      </w:r>
    </w:p>
    <w:p>
      <w:r>
        <w:t xml:space="preserve">Un risk case regroupe une ou plusieurs alertes scorées d'un même client (corrélation R81) et est animé par un workflow d'investigation : NOUVELLE → EN_ANALYSE → (CLARIFICATION ↔ EN_ANALYSE) → CLOTUREE | ESCALADEE. Les états CLOTUREE et ESCALADEE sont terminaux ; ESCALADEE ouvre la voie à une déclaration MROS/SAR.</w:t>
      </w:r>
    </w:p>
    <w:p>
      <w:r>
        <w:t xml:space="preserve">Motif obligatoire (R7). Les transitions « clore », « escalader » et « demander une clarification » exigent un motif ; à défaut la transition est refusée.</w:t>
      </w:r>
    </w:p>
    <w:p>
      <w:r>
        <w:t xml:space="preserve">Documentation append-only (R48/R49). L'analyste documente sa compréhension du phénomène ; les notes sont horodatées, attribuées et ne peuvent être ni modifiées ni supprimées. L'historique des transitions est tracé de la même manière.</w:t>
      </w:r>
    </w:p>
    <w:p>
      <w:r>
        <w:t xml:space="preserve">Rien par effet de bord (R66), décision humaine (R44). L'ouverture, chaque transition et chaque note passent par un événement tracé (journal + PARAM_AUDIT). Le rattachement d'une alerte à un case ouvert du même client réutilise ce case (pas de doublon).</w:t>
      </w:r>
    </w:p>
    <w:p>
      <w:r>
        <w:t xml:space="preserve">Scénarios : RC-01 ouverture (état NOUVELLE, scénarios rattachés) ; RC-02 workflow + clôture exigeant un motif ; RC-03 transition invalide refusée ; RC-04 documentation append-only ; RC-05 corrélation multi-scénarios d'un même client (clients différents refusés). 5/5 verts (bloc 14 CPSI, 76 tests / 14 suites).</w:t>
      </w:r>
    </w:p>
    <w:p>
      <w:pPr>
        <w:pStyle w:val="Heading1"/>
        <w:spacing w:after="180" w:before="300"/>
      </w:pPr>
      <w:r>
        <w:rPr>
          <w:rFonts w:ascii="Georgia" w:cs="Georgia" w:eastAsia="Georgia" w:hAnsi="Georgia"/>
        </w:rPr>
        <w:t xml:space="preserve">20. Bloc 20 — Refonte du remplissage KYC (R84–R88)</w:t>
      </w:r>
    </w:p>
    <w:p>
      <w:r>
        <w:t xml:space="preserve">Ce bloc formalise l'expérience de remplissage du dossier KYC : détention exclusive du dossier, passage de main entre validateurs section par section, visa qualifié, messagerie cloisonnée par section et appréciation d'intervenant. Chaque règle a été spécifiée par un test moteur (pytest, harnais CPSI) avant implémentation UI. Invariants respectés : rien ne change d'état sans événement tracé ; audit append-only rejouable à date (R48/R49) ; l'IA assiste, l'humain décide (R44) ; le système mesure et notifie sans coercer (R39).</w:t>
      </w:r>
    </w:p>
    <w:p>
      <w:pPr>
        <w:pStyle w:val="Heading2"/>
        <w:spacing w:after="180" w:before="300"/>
      </w:pPr>
      <w:r>
        <w:rPr>
          <w:rFonts w:ascii="Georgia" w:cs="Georgia" w:eastAsia="Georgia" w:hAnsi="Georgia"/>
        </w:rPr>
        <w:t xml:space="preserve">20.1 R84 — Édition exclusive du dossier KYC (la main / checkout)</w:t>
      </w:r>
    </w:p>
    <w:p>
      <w:r>
        <w:t xml:space="preserve">Un dossier KYC en édition est détenu par un seul intervenant à la fois, comme un dossier physique. Les autres ne peuvent pas le consulter tant qu'il n'est pas libéré (release) ; un pop-up leur propose de demander la main (requête tracée). Le détenteur peut libérer ou passer la main. Un seul détenteur à la fois. Tout est journalisé.</w:t>
      </w:r>
    </w:p>
    <w:p>
      <w:r>
        <w:t xml:space="preserve">Moteur de référence : KycLock (prendre / libérer / demander / passer la main, peut_consulter). Tests bloc 16 (CK-01..05) : prise de main, demande de main tracée, libération puis reprise par le demandeur, passage de main exclusif, garde-fous (non-détenteur ne libère pas, demande sur dossier libre refusée). UI : pop-up bloquant « Dossier en cours d'édition » + barre de main dans l'écran KYC.</w:t>
      </w:r>
    </w:p>
    <w:p>
      <w:pPr>
        <w:pStyle w:val="Heading2"/>
        <w:spacing w:after="180" w:before="300"/>
      </w:pPr>
      <w:r>
        <w:rPr>
          <w:rFonts w:ascii="Georgia" w:cs="Georgia" w:eastAsia="Georgia" w:hAnsi="Georgia"/>
        </w:rPr>
        <w:t xml:space="preserve">20.2 R85 — Passage de main entre validateurs (Next step / Revenir)</w:t>
      </w:r>
    </w:p>
    <w:p>
      <w:r>
        <w:t xml:space="preserve">Le validateur d'une section passe la main à l'étape suivante (« Valider et passer à l'étape suivante ») ou rend la main à la précédente (« Renvoyer à l'étape précédente »). Un message est OBLIGATOIRE à chaque passage — il est adressé à l'intervenant concerné et consigné. La chaîne se déroule jusqu'à la section de validation (valider / rejeter). Chaque passage est tracé (qui, message, de → à).</w:t>
      </w:r>
    </w:p>
    <w:p>
      <w:r>
        <w:t xml:space="preserve">Moteur de référence : KycHandoff (next_step / revenir / valider / rejeter). Tests bloc 17 (HM-01..06) : avance avec message obligatoire, renvoi avec message obligatoire et refus à la première étape, chemin complet jusqu'à la validation, validation possible uniquement à la dernière section, terminal verrouillé, trace complète. UI : le stepper de phases, le modal de transition (message désormais obligatoire aussi au passage à l'étape suivante) et la timeline wfLog.</w:t>
      </w:r>
    </w:p>
    <w:p>
      <w:pPr>
        <w:pStyle w:val="Heading2"/>
        <w:spacing w:after="180" w:before="300"/>
      </w:pPr>
      <w:r>
        <w:rPr>
          <w:rFonts w:ascii="Georgia" w:cs="Georgia" w:eastAsia="Georgia" w:hAnsi="Georgia"/>
        </w:rPr>
        <w:t xml:space="preserve">20.3 R86 — Visa qualifié (verdict + message)</w:t>
      </w:r>
    </w:p>
    <w:p>
      <w:r>
        <w:t xml:space="preserve">Apposer un visa rend un verdict — OK (favorable), CONDITIONAL (sous condition) ou NOK (défavorable) — accompagné d'un message. Un verdict NOK ou CONDITIONAL exige un message justificatif ; OK peut rester sans message. Le visa demeure un objet uniforme, retirable par son seul signataire, entièrement tracé. Un NOK est bloquant. Extension du visa uniforme (R15).</w:t>
      </w:r>
    </w:p>
    <w:p>
      <w:r>
        <w:t xml:space="preserve">Moteur de référence : QualifiedVisa (apposer / retirer / verdict / bloquant). Tests bloc 18 (VQ-01..06) : OK sans message, NOK message obligatoire et bloquant, sous condition message obligatoire, retrait réservé au signataire, verdict invalide refusé, trace du verdict et du message. UI : modale à trois verdicts + message branchée sur les visas par section ; la pastille affiche le verdict (✓ favorable / ~ sous condition / ✕ défavorable) et le message en survol.</w:t>
      </w:r>
    </w:p>
    <w:p>
      <w:pPr>
        <w:pStyle w:val="Heading2"/>
        <w:spacing w:after="180" w:before="300"/>
      </w:pPr>
      <w:r>
        <w:rPr>
          <w:rFonts w:ascii="Georgia" w:cs="Georgia" w:eastAsia="Georgia" w:hAnsi="Georgia"/>
        </w:rPr>
        <w:t xml:space="preserve">20.4 R87 — Fil d'échange par section / sous-section</w:t>
      </w:r>
    </w:p>
    <w:p>
      <w:r>
        <w:t xml:space="preserve">La messagerie entre intervenants est cloisonnée par section : chaque section (ou sous-section) porte son propre fil, avec la mention « Ce fil ne concerne que cette section ». Un message posté sur une section n'apparaît que sur celle-ci. Application de l'échange tracé par section (R78).</w:t>
      </w:r>
    </w:p>
    <w:p>
      <w:pPr>
        <w:pStyle w:val="Heading2"/>
        <w:spacing w:after="180" w:before="300"/>
      </w:pPr>
      <w:r>
        <w:rPr>
          <w:rFonts w:ascii="Georgia" w:cs="Georgia" w:eastAsia="Georgia" w:hAnsi="Georgia"/>
        </w:rPr>
        <w:t xml:space="preserve">20.5 R88 — Appréciation d'intervenant rétractable</w:t>
      </w:r>
    </w:p>
    <w:p>
      <w:r>
        <w:t xml:space="preserve">L'appréciation d'intervenant est un bloc distinct des messages, présenté en retrait en bas de section, replié par défaut ; un clic déplie pour consulter ou ajouter une appréciation. Facultative, visibilité par profil.</w:t>
      </w:r>
    </w:p>
    <w:p>
      <w:pPr>
        <w:pStyle w:val="Heading2"/>
        <w:spacing w:after="180" w:before="300"/>
      </w:pPr>
      <w:r>
        <w:rPr>
          <w:rFonts w:ascii="Georgia" w:cs="Georgia" w:eastAsia="Georgia" w:hAnsi="Georgia"/>
        </w:rPr>
        <w:t xml:space="preserve">20.6 Affinages de présentation (application, sans nouvelle règle)</w:t>
      </w:r>
    </w:p>
    <w:p>
      <w:r>
        <w:t xml:space="preserve">Étape workflow : le stepper de phases du mode remplissage est affiché en tête des sections, rétractable, et libellé « Étape workflow » (FR) / « Workflow step » (EN). Le score AML explicable n'apparaît que sur la section AML, en accordéon replié par défaut. L'onglet « Change tracker » est réservé aux auditeurs (AUDIT / FINMA / ADMIN) ; le suivi des modifications reste accessible à tous les intervenants habilités via les étoiles sous chaque champ. L'onglet « Account Reviews » est retiré du dossier KYC (module distinct du cycle de vie).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