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4.16 — 21 juillet 2026 · Intègre les ratifications du 15.07 (R89→R103), du 19.07 (R104→R132), du 20.07 (R133→R166) et du 21.07 (R167→R170 : le core banking est un port — déclaré, signé, lecture seule, quarantaine pour l'inconnu — et la rétention naît au classement). 259 identifiants de scénarios · 288 tests de corpus · consolidation anti-régression active.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(R167 → R169) · Bloc 33 « Le core banking est un port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R166. Famille : SY (synchronisation — vérifiée libre).</w:t>
      </w:r>
    </w:p>
    <w:p>
      <w:pPr>
        <w:rPr>
          <w:b w:val="0"/>
          <w:sz w:val="20"/>
        </w:rPr>
      </w:pPr>
      <w:r>
        <w:rPr>
          <w:b w:val="0"/>
          <w:sz w:val="20"/>
        </w:rPr>
        <w:t xml:space="preserve">Le catalogue précède le code. Enjeu : sans connexion au core banking (Avaloq, Temenos,</w:t>
      </w:r>
    </w:p>
    <w:p>
      <w:pPr>
        <w:rPr>
          <w:b w:val="0"/>
          <w:sz w:val="20"/>
        </w:rPr>
      </w:pPr>
      <w:r>
        <w:rPr>
          <w:b w:val="0"/>
          <w:sz w:val="20"/>
        </w:rPr>
        <w:t xml:space="preserve">Finnova, ERI Olympic), pas de shortlist en Suisse. La réponse O-Live n'est pas « nous avons</w:t>
      </w:r>
    </w:p>
    <w:p>
      <w:pPr>
        <w:rPr>
          <w:b w:val="0"/>
          <w:sz w:val="20"/>
        </w:rPr>
      </w:pPr>
      <w:r>
        <w:rPr>
          <w:b w:val="0"/>
          <w:sz w:val="20"/>
        </w:rPr>
        <w:t xml:space="preserve">le connecteur X » mais « le core banking est un port » — un contrat que NOUS définissons,</w:t>
      </w:r>
    </w:p>
    <w:p>
      <w:pPr>
        <w:rPr>
          <w:b w:val="0"/>
          <w:sz w:val="20"/>
        </w:rPr>
      </w:pPr>
      <w:r>
        <w:rPr>
          <w:b w:val="0"/>
          <w:sz w:val="20"/>
        </w:rPr>
        <w:t xml:space="preserve">dont chaque système devient une implémentation sous contrat (pattern éprouvé : coffre R144,</w:t>
      </w:r>
    </w:p>
    <w:p>
      <w:pPr>
        <w:rPr>
          <w:b w:val="0"/>
          <w:sz w:val="20"/>
        </w:rPr>
      </w:pPr>
      <w:r>
        <w:rPr>
          <w:b w:val="0"/>
          <w:sz w:val="20"/>
        </w:rPr>
        <w:t xml:space="preserve">IA R163). Phase 1 : lecture seule — O-Live ne modifie jamais le core.</w:t>
      </w:r>
    </w:p>
    <w:p>
      <w:pPr>
        <w:rPr>
          <w:b w:val="0"/>
          <w:sz w:val="20"/>
        </w:rPr>
      </w:pPr>
      <w:r>
        <w:rPr>
          <w:b w:val="0"/>
          <w:sz w:val="20"/>
        </w:rPr>
        <w:t xml:space="preserve"/>
      </w:r>
    </w:p>
    <w:p>
      <w:pPr>
        <w:rPr>
          <w:b w:val="1"/>
          <w:sz w:val="26"/>
        </w:rPr>
      </w:pPr>
      <w:r>
        <w:rPr>
          <w:b w:val="1"/>
          <w:sz w:val="26"/>
        </w:rPr>
        <w:t xml:space="preserve">R167 — Le core banking est un PORT déclaré — jamais de données simulées</w:t>
      </w:r>
    </w:p>
    <w:p>
      <w:pPr>
        <w:rPr>
          <w:b w:val="0"/>
          <w:sz w:val="20"/>
        </w:rPr>
      </w:pPr>
      <w:r>
        <w:rPr>
          <w:b w:val="0"/>
          <w:sz w:val="20"/>
        </w:rPr>
        <w:t xml:space="preserve"/>
      </w:r>
    </w:p>
    <w:p>
      <w:pPr>
        <w:rPr>
          <w:b w:val="0"/>
          <w:sz w:val="20"/>
        </w:rPr>
      </w:pPr>
      <w:r>
        <w:rPr>
          <w:b w:val="0"/>
          <w:sz w:val="20"/>
        </w:rPr>
        <w:t xml:space="preserve">Pas de connecteur configuré = refus explicite (pattern R114). Le port déclare :</w:t>
      </w:r>
    </w:p>
    <w:p>
      <w:pPr>
        <w:rPr>
          <w:b w:val="0"/>
          <w:sz w:val="20"/>
        </w:rPr>
      </w:pPr>
      <w:r>
        <w:rPr>
          <w:b w:val="0"/>
          <w:sz w:val="20"/>
        </w:rPr>
        <w:t xml:space="preserve">système, version, périmètre (comptes, positions, transactions). La déclaration est tracée à</w:t>
      </w:r>
    </w:p>
    <w:p>
      <w:pPr>
        <w:rPr>
          <w:b w:val="0"/>
          <w:sz w:val="20"/>
        </w:rPr>
      </w:pPr>
      <w:r>
        <w:rPr>
          <w:b w:val="0"/>
          <w:sz w:val="20"/>
        </w:rPr>
        <w:t xml:space="preserve">la connexion ; le périmètre fait foi — demander ce que le port ne déclare pas est un refus,</w:t>
      </w:r>
    </w:p>
    <w:p>
      <w:pPr>
        <w:rPr>
          <w:b w:val="0"/>
          <w:sz w:val="20"/>
        </w:rPr>
      </w:pPr>
      <w:r>
        <w:rPr>
          <w:b w:val="0"/>
          <w:sz w:val="20"/>
        </w:rPr>
        <w:t xml:space="preserve">pas un silence.</w:t>
      </w:r>
    </w:p>
    <w:p>
      <w:pPr>
        <w:rPr>
          <w:b w:val="0"/>
          <w:sz w:val="20"/>
        </w:rPr>
      </w:pPr>
      <w:r>
        <w:rPr>
          <w:b w:val="0"/>
          <w:sz w:val="20"/>
        </w:rPr>
        <w:t xml:space="preserve"/>
      </w:r>
    </w:p>
    <w:p>
      <w:pPr>
        <w:rPr>
          <w:b w:val="0"/>
          <w:sz w:val="20"/>
        </w:rPr>
      </w:pPr>
      <w:r>
        <w:rPr>
          <w:b w:val="0"/>
          <w:sz w:val="20"/>
        </w:rPr>
        <w:t xml:space="preserve">&gt; Scénario SY-01 — Pas de port, pas d'import ; hors périmètre, refus</w:t>
      </w:r>
    </w:p>
    <w:p>
      <w:pPr>
        <w:rPr>
          <w:b w:val="0"/>
          <w:sz w:val="20"/>
        </w:rPr>
      </w:pPr>
      <w:r>
        <w:rPr>
          <w:b w:val="0"/>
          <w:sz w:val="20"/>
        </w:rPr>
        <w:t xml:space="preserve">&gt; Quand aucun port n'est configuré Alors refus R167</w:t>
      </w:r>
    </w:p>
    <w:p>
      <w:pPr>
        <w:rPr>
          <w:b w:val="0"/>
          <w:sz w:val="20"/>
        </w:rPr>
      </w:pPr>
      <w:r>
        <w:rPr>
          <w:b w:val="0"/>
          <w:sz w:val="20"/>
        </w:rPr>
        <w:t xml:space="preserve">&gt; Quand on demande les POSITIONS à un port qui ne déclare que COMPTES Alors refus explicite</w:t>
      </w:r>
    </w:p>
    <w:p>
      <w:pPr>
        <w:rPr>
          <w:b w:val="0"/>
          <w:sz w:val="20"/>
        </w:rPr>
      </w:pPr>
      <w:r>
        <w:rPr>
          <w:b w:val="0"/>
          <w:sz w:val="20"/>
        </w:rPr>
        <w:t xml:space="preserve"/>
      </w:r>
    </w:p>
    <w:p>
      <w:pPr>
        <w:rPr>
          <w:b w:val="1"/>
          <w:sz w:val="26"/>
        </w:rPr>
      </w:pPr>
      <w:r>
        <w:rPr>
          <w:b w:val="1"/>
          <w:sz w:val="26"/>
        </w:rPr>
        <w:t xml:space="preserve">R168 — La synchronisation est un DÉRIVÉ tracé — et O-Live ne modifie JAMAIS le core</w:t>
      </w:r>
    </w:p>
    <w:p>
      <w:pPr>
        <w:rPr>
          <w:b w:val="0"/>
          <w:sz w:val="20"/>
        </w:rPr>
      </w:pPr>
      <w:r>
        <w:rPr>
          <w:b w:val="0"/>
          <w:sz w:val="20"/>
        </w:rPr>
        <w:t xml:space="preserve"/>
      </w:r>
    </w:p>
    <w:p>
      <w:pPr>
        <w:rPr>
          <w:b w:val="0"/>
          <w:sz w:val="20"/>
        </w:rPr>
      </w:pPr>
      <w:r>
        <w:rPr>
          <w:b w:val="0"/>
          <w:sz w:val="20"/>
        </w:rPr>
        <w:t xml:space="preserve">Chaque import est un lot : source (système+version), horodatage, nombre de lignes,</w:t>
      </w:r>
    </w:p>
    <w:p>
      <w:pPr>
        <w:rPr>
          <w:b w:val="0"/>
          <w:sz w:val="20"/>
        </w:rPr>
      </w:pPr>
      <w:r>
        <w:rPr>
          <w:b w:val="0"/>
          <w:sz w:val="20"/>
        </w:rPr>
        <w:t xml:space="preserve">empreinte du lot — rejouable et prouvable (pattern R161). Les données importées sont des</w:t>
      </w:r>
    </w:p>
    <w:p>
      <w:pPr>
        <w:rPr>
          <w:b w:val="0"/>
          <w:sz w:val="20"/>
        </w:rPr>
      </w:pPr>
      <w:r>
        <w:rPr>
          <w:b w:val="0"/>
          <w:sz w:val="20"/>
        </w:rPr>
        <w:t xml:space="preserve">dérivés : la vérité reste le core. Phase 1 lecture seule — il n'existe aucune voie</w:t>
      </w:r>
    </w:p>
    <w:p>
      <w:pPr>
        <w:rPr>
          <w:b w:val="0"/>
          <w:sz w:val="20"/>
        </w:rPr>
      </w:pPr>
      <w:r>
        <w:rPr>
          <w:b w:val="0"/>
          <w:sz w:val="20"/>
        </w:rPr>
        <w:t xml:space="preserve">d'écriture vers le core dans le service. La désynchronisation détectée est un fait d'audit</w:t>
      </w:r>
    </w:p>
    <w:p>
      <w:pPr>
        <w:rPr>
          <w:b w:val="0"/>
          <w:sz w:val="20"/>
        </w:rPr>
      </w:pPr>
      <w:r>
        <w:rPr>
          <w:b w:val="0"/>
          <w:sz w:val="20"/>
        </w:rPr>
        <w:t xml:space="preserve">(pattern R147), jamais une réparation silencieuse.</w:t>
      </w:r>
    </w:p>
    <w:p>
      <w:pPr>
        <w:rPr>
          <w:b w:val="0"/>
          <w:sz w:val="20"/>
        </w:rPr>
      </w:pPr>
      <w:r>
        <w:rPr>
          <w:b w:val="0"/>
          <w:sz w:val="20"/>
        </w:rPr>
        <w:t xml:space="preserve"/>
      </w:r>
    </w:p>
    <w:p>
      <w:pPr>
        <w:rPr>
          <w:b w:val="0"/>
          <w:sz w:val="20"/>
        </w:rPr>
      </w:pPr>
      <w:r>
        <w:rPr>
          <w:b w:val="0"/>
          <w:sz w:val="20"/>
        </w:rPr>
        <w:t xml:space="preserve">&gt; Scénario SY-02 — Le lot est signé, le core est intouchable</w:t>
      </w:r>
    </w:p>
    <w:p>
      <w:pPr>
        <w:rPr>
          <w:b w:val="0"/>
          <w:sz w:val="20"/>
        </w:rPr>
      </w:pPr>
      <w:r>
        <w:rPr>
          <w:b w:val="0"/>
          <w:sz w:val="20"/>
        </w:rPr>
        <w:t xml:space="preserve">&gt; Quand un lot de comptes est importé Alors événement (source, nb, empreinte du lot)</w:t>
      </w:r>
    </w:p>
    <w:p>
      <w:pPr>
        <w:rPr>
          <w:b w:val="0"/>
          <w:sz w:val="20"/>
        </w:rPr>
      </w:pPr>
      <w:r>
        <w:rPr>
          <w:b w:val="0"/>
          <w:sz w:val="20"/>
        </w:rPr>
        <w:t xml:space="preserve">&gt; et l'empreinte se recalcule Et le service n'expose aucune méthode d'écriture vers le port</w:t>
      </w:r>
    </w:p>
    <w:p>
      <w:pPr>
        <w:rPr>
          <w:b w:val="0"/>
          <w:sz w:val="20"/>
        </w:rPr>
      </w:pPr>
      <w:r>
        <w:rPr>
          <w:b w:val="0"/>
          <w:sz w:val="20"/>
        </w:rPr>
        <w:t xml:space="preserve"/>
      </w:r>
    </w:p>
    <w:p>
      <w:pPr>
        <w:rPr>
          <w:b w:val="1"/>
          <w:sz w:val="26"/>
        </w:rPr>
      </w:pPr>
      <w:r>
        <w:rPr>
          <w:b w:val="1"/>
          <w:sz w:val="26"/>
        </w:rPr>
        <w:t xml:space="preserve">R169 — La correspondance est un référentiel tenant versionné — l'inconnu va en QUARANTAINE</w:t>
      </w:r>
    </w:p>
    <w:p>
      <w:pPr>
        <w:rPr>
          <w:b w:val="0"/>
          <w:sz w:val="20"/>
        </w:rPr>
      </w:pPr>
      <w:r>
        <w:rPr>
          <w:b w:val="0"/>
          <w:sz w:val="20"/>
        </w:rPr>
        <w:t xml:space="preserve"/>
      </w:r>
    </w:p>
    <w:p>
      <w:pPr>
        <w:rPr>
          <w:b w:val="0"/>
          <w:sz w:val="20"/>
        </w:rPr>
      </w:pPr>
      <w:r>
        <w:rPr>
          <w:b w:val="0"/>
          <w:sz w:val="20"/>
        </w:rPr>
        <w:t xml:space="preserve">Le mapping comptes-core ↔ clients-O-Live est un paramètre tenant à date de mise en</w:t>
      </w:r>
    </w:p>
    <w:p>
      <w:pPr>
        <w:rPr>
          <w:b w:val="0"/>
          <w:sz w:val="20"/>
        </w:rPr>
      </w:pPr>
      <w:r>
        <w:rPr>
          <w:b w:val="0"/>
          <w:sz w:val="20"/>
        </w:rPr>
        <w:t xml:space="preserve">vigueur (pattern R29 — le mapping d'hier reste lisible pour rejouer hier). Une ligne dont la</w:t>
      </w:r>
    </w:p>
    <w:p>
      <w:pPr>
        <w:rPr>
          <w:b w:val="0"/>
          <w:sz w:val="20"/>
        </w:rPr>
      </w:pPr>
      <w:r>
        <w:rPr>
          <w:b w:val="0"/>
          <w:sz w:val="20"/>
        </w:rPr>
        <w:t xml:space="preserve">correspondance est inconnue ne se rattache jamais par devinette : elle va en</w:t>
      </w:r>
    </w:p>
    <w:p>
      <w:pPr>
        <w:rPr>
          <w:b w:val="0"/>
          <w:sz w:val="20"/>
        </w:rPr>
      </w:pPr>
      <w:r>
        <w:rPr>
          <w:b w:val="0"/>
          <w:sz w:val="20"/>
        </w:rPr>
        <w:t xml:space="preserve">quarantaine — tracée, comptée, avec tâche de résolution. Résoudre la quarantaine est un</w:t>
      </w:r>
    </w:p>
    <w:p>
      <w:pPr>
        <w:rPr>
          <w:b w:val="0"/>
          <w:sz w:val="20"/>
        </w:rPr>
      </w:pPr>
      <w:r>
        <w:rPr>
          <w:b w:val="0"/>
          <w:sz w:val="20"/>
        </w:rPr>
        <w:t xml:space="preserve">acte humain (jeton) qui enrichit le mapping.</w:t>
      </w:r>
    </w:p>
    <w:p>
      <w:pPr>
        <w:rPr>
          <w:b w:val="0"/>
          <w:sz w:val="20"/>
        </w:rPr>
      </w:pPr>
      <w:r>
        <w:rPr>
          <w:b w:val="0"/>
          <w:sz w:val="20"/>
        </w:rPr>
        <w:t xml:space="preserve"/>
      </w:r>
    </w:p>
    <w:p>
      <w:pPr>
        <w:rPr>
          <w:b w:val="0"/>
          <w:sz w:val="20"/>
        </w:rPr>
      </w:pPr>
      <w:r>
        <w:rPr>
          <w:b w:val="0"/>
          <w:sz w:val="20"/>
        </w:rPr>
        <w:t xml:space="preserve">&gt; Scénario SY-03 — L'inconnu ne se devine pas</w:t>
      </w:r>
    </w:p>
    <w:p>
      <w:pPr>
        <w:rPr>
          <w:b w:val="0"/>
          <w:sz w:val="20"/>
        </w:rPr>
      </w:pPr>
      <w:r>
        <w:rPr>
          <w:b w:val="0"/>
          <w:sz w:val="20"/>
        </w:rPr>
        <w:t xml:space="preserve">&gt; Quand le lot contient un compte hors mapping Alors ligne en QUARANTAINE + tâche —</w:t>
      </w:r>
    </w:p>
    <w:p>
      <w:pPr>
        <w:rPr>
          <w:b w:val="0"/>
          <w:sz w:val="20"/>
        </w:rPr>
      </w:pPr>
      <w:r>
        <w:rPr>
          <w:b w:val="0"/>
          <w:sz w:val="20"/>
        </w:rPr>
        <w:t xml:space="preserve">&gt; les lignes connues passent, rien n'est bloqué (R39)</w:t>
      </w:r>
    </w:p>
    <w:p>
      <w:pPr>
        <w:rPr>
          <w:b w:val="0"/>
          <w:sz w:val="20"/>
        </w:rPr>
      </w:pPr>
      <w:r>
        <w:rPr>
          <w:b w:val="0"/>
          <w:sz w:val="20"/>
        </w:rPr>
        <w:t xml:space="preserve">&gt; Quand l'humain résout (jeton) Alors mapping enrichi, la ligne sort de quarantaine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Port | `CoreBankingPort = { systeme, version, perimetre[], lire(type, depuis?) }` — lecture seule par construction (le type n'a pas d'écriture) |</w:t>
      </w:r>
    </w:p>
    <w:p>
      <w:pPr>
        <w:rPr>
          <w:b w:val="0"/>
          <w:sz w:val="20"/>
        </w:rPr>
      </w:pPr>
      <w:r>
        <w:rPr>
          <w:b w:val="0"/>
          <w:sz w:val="20"/>
        </w:rPr>
        <w:t xml:space="preserve">| Modèle | `CoreSyncLot` (tenantId, source, type, nbLignes, shaLot, at, par) · `CoreQuarantaine` (tenantId, lotId, ligne json, motif, statut `EN_ATTENTE\|RESOLUE`, resoluPar?, resoluAt?) — RLS ×2 |</w:t>
      </w:r>
    </w:p>
    <w:p>
      <w:pPr>
        <w:rPr>
          <w:b w:val="0"/>
          <w:sz w:val="20"/>
        </w:rPr>
      </w:pPr>
      <w:r>
        <w:rPr>
          <w:b w:val="0"/>
          <w:sz w:val="20"/>
        </w:rPr>
        <w:t xml:space="preserve">| Service | `CoreSyncService(prisma, audit, ports)` : `importerLot` (R167/R168/R169), `resoudreQuarantaine` (R169, acte jeton), `etatSync` |</w:t>
      </w:r>
    </w:p>
    <w:p>
      <w:pPr>
        <w:rPr>
          <w:b w:val="0"/>
          <w:sz w:val="20"/>
        </w:rPr>
      </w:pPr>
      <w:r>
        <w:rPr>
          <w:b w:val="0"/>
          <w:sz w:val="20"/>
        </w:rPr>
        <w:t xml:space="preserve">| Paramètres R-Q | au registre (R125) : `coreMapping` (json versionné `[{compteCore, clientId, depuisLe}]`, défaut []) · `coreSystemeRef` (référence contractuelle, défaut null) |</w:t>
      </w:r>
    </w:p>
    <w:p>
      <w:pPr>
        <w:rPr>
          <w:b w:val="0"/>
          <w:sz w:val="20"/>
        </w:rPr>
      </w:pPr>
      <w:r>
        <w:rPr>
          <w:b w:val="0"/>
          <w:sz w:val="20"/>
        </w:rPr>
        <w:t xml:space="preserve">| Événements | `core.sync.lot` · `core.sync.quarantaine` · `core.sync.resolution` · `core.acces.refuse` |</w:t>
      </w:r>
    </w:p>
    <w:p>
      <w:pPr>
        <w:rPr>
          <w:b w:val="0"/>
          <w:sz w:val="20"/>
        </w:rPr>
      </w:pPr>
      <w:r>
        <w:rPr>
          <w:b w:val="0"/>
          <w:sz w:val="20"/>
        </w:rPr>
        <w:t xml:space="preserve">| Adaptateurs à contracter | Avaloq (AMI/ACP), Temenos (T24/Transact API), Finnova (OpenFinnova), ERI (Olympic) — chacun = UNE implémentation du port, hors périmètre du bloc (comme S3/Exoscale au R144) |</w:t>
      </w:r>
    </w:p>
    <w:p>
      <w:pPr>
        <w:rPr>
          <w:b w:val="0"/>
          <w:sz w:val="20"/>
        </w:rPr>
      </w:pPr>
      <w:r>
        <w:rPr>
          <w:b w:val="0"/>
          <w:sz w:val="20"/>
        </w:rPr>
        <w:t xml:space="preserve"/>
      </w:r>
    </w:p>
    <w:p>
      <w:pPr>
        <w:rPr>
          <w:b w:val="0"/>
          <w:sz w:val="20"/>
        </w:rPr>
      </w:pPr>
      <w:r>
        <w:rPr>
          <w:b w:val="0"/>
          <w:sz w:val="20"/>
        </w:rPr>
        <w:t xml:space="preserve">Tests : SY-01..05 (`core-sync.wiring.spec.ts`),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(R170) · « La rétention naît au classement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R169. Famille : RN (vérifiée libre — RT est PRIS, 4e collision</w:t>
      </w:r>
    </w:p>
    <w:p>
      <w:pPr>
        <w:rPr>
          <w:b w:val="0"/>
          <w:sz w:val="20"/>
        </w:rPr>
      </w:pPr>
      <w:r>
        <w:rPr>
          <w:b w:val="0"/>
          <w:sz w:val="20"/>
        </w:rPr>
        <w:t xml:space="preserve">évitée par la vérification systématique). Le catalogue précède le code. Trou identifié à</w:t>
      </w:r>
    </w:p>
    <w:p>
      <w:pPr>
        <w:rPr>
          <w:b w:val="0"/>
          <w:sz w:val="20"/>
        </w:rPr>
      </w:pPr>
      <w:r>
        <w:rPr>
          <w:b w:val="0"/>
          <w:sz w:val="20"/>
        </w:rPr>
        <w:t xml:space="preserve">l'audit du paramétrage : `retentionUntil` existe par document et GD-11 sait proposer la</w:t>
      </w:r>
    </w:p>
    <w:p>
      <w:pPr>
        <w:rPr>
          <w:b w:val="0"/>
          <w:sz w:val="20"/>
        </w:rPr>
      </w:pPr>
      <w:r>
        <w:rPr>
          <w:b w:val="0"/>
          <w:sz w:val="20"/>
        </w:rPr>
        <w:t xml:space="preserve">destruction — mais RIEN ne posait l'échéance. R170 est le chaînon entre le classement et</w:t>
      </w:r>
    </w:p>
    <w:p>
      <w:pPr>
        <w:rPr>
          <w:b w:val="0"/>
          <w:sz w:val="20"/>
        </w:rPr>
      </w:pPr>
      <w:r>
        <w:rPr>
          <w:b w:val="0"/>
          <w:sz w:val="20"/>
        </w:rPr>
        <w:t xml:space="preserve">l'oubli certifié.</w:t>
      </w:r>
    </w:p>
    <w:p>
      <w:pPr>
        <w:rPr>
          <w:b w:val="0"/>
          <w:sz w:val="20"/>
        </w:rPr>
      </w:pPr>
      <w:r>
        <w:rPr>
          <w:b w:val="0"/>
          <w:sz w:val="20"/>
        </w:rPr>
        <w:t xml:space="preserve"/>
      </w:r>
    </w:p>
    <w:p>
      <w:pPr>
        <w:rPr>
          <w:b w:val="1"/>
          <w:sz w:val="26"/>
        </w:rPr>
      </w:pPr>
      <w:r>
        <w:rPr>
          <w:b w:val="1"/>
          <w:sz w:val="26"/>
        </w:rPr>
        <w:t xml:space="preserve">R170 — La rétention naît au classement — le type porte sa durée</w:t>
      </w:r>
    </w:p>
    <w:p>
      <w:pPr>
        <w:rPr>
          <w:b w:val="0"/>
          <w:sz w:val="20"/>
        </w:rPr>
      </w:pPr>
      <w:r>
        <w:rPr>
          <w:b w:val="0"/>
          <w:sz w:val="20"/>
        </w:rPr>
        <w:t xml:space="preserve"/>
      </w:r>
    </w:p>
    <w:p>
      <w:pPr>
        <w:rPr>
          <w:b w:val="0"/>
          <w:sz w:val="20"/>
        </w:rPr>
      </w:pPr>
      <w:r>
        <w:rPr>
          <w:b w:val="0"/>
          <w:sz w:val="20"/>
        </w:rPr>
        <w:t xml:space="preserve">Chaque type du plan de classement (`gedDocTypes`) peut porter `retentionAnnees`</w:t>
      </w:r>
    </w:p>
    <w:p>
      <w:pPr>
        <w:rPr>
          <w:b w:val="0"/>
          <w:sz w:val="20"/>
        </w:rPr>
      </w:pPr>
      <w:r>
        <w:rPr>
          <w:b w:val="0"/>
          <w:sz w:val="20"/>
        </w:rPr>
        <w:t xml:space="preserve">(paramètre R-Q — la clé maîtresse s'enrichit, aucune clé nouvelle). Au classement (R139),</w:t>
      </w:r>
    </w:p>
    <w:p>
      <w:pPr>
        <w:rPr>
          <w:b w:val="0"/>
          <w:sz w:val="20"/>
        </w:rPr>
      </w:pPr>
      <w:r>
        <w:rPr>
          <w:b w:val="0"/>
          <w:sz w:val="20"/>
        </w:rPr>
        <w:t xml:space="preserve">si le type porte une durée, l'échéance `retentionUntil` est posée (date du classement +</w:t>
      </w:r>
    </w:p>
    <w:p>
      <w:pPr>
        <w:rPr>
          <w:b w:val="0"/>
          <w:sz w:val="20"/>
        </w:rPr>
      </w:pPr>
      <w:r>
        <w:rPr>
          <w:b w:val="0"/>
          <w:sz w:val="20"/>
        </w:rPr>
        <w:t xml:space="preserve">durée) et portée à l'événement. Sans durée : pas d'échéance — GD-11 ne proposera jamais.</w:t>
      </w:r>
    </w:p>
    <w:p>
      <w:pPr>
        <w:rPr>
          <w:b w:val="0"/>
          <w:sz w:val="20"/>
        </w:rPr>
      </w:pPr>
      <w:r>
        <w:rPr>
          <w:b w:val="0"/>
          <w:sz w:val="20"/>
        </w:rPr>
        <w:t xml:space="preserve">L'aval est INCHANGÉ : l'échéance propose (GD-11), la destruction se décide (R7),</w:t>
      </w:r>
    </w:p>
    <w:p>
      <w:pPr>
        <w:rPr>
          <w:b w:val="0"/>
          <w:sz w:val="20"/>
        </w:rPr>
      </w:pPr>
      <w:r>
        <w:rPr>
          <w:b w:val="0"/>
          <w:sz w:val="20"/>
        </w:rPr>
        <w:t xml:space="preserve">rien n'est bloqué (R39). R170 amende le comportement de `classer` — les suites existantes</w:t>
      </w:r>
    </w:p>
    <w:p>
      <w:pPr>
        <w:rPr>
          <w:b w:val="0"/>
          <w:sz w:val="20"/>
        </w:rPr>
      </w:pPr>
      <w:r>
        <w:rPr>
          <w:b w:val="0"/>
          <w:sz w:val="20"/>
        </w:rPr>
        <w:t xml:space="preserve">(GI, CB) restent vertes : c'est le filet de non-régression.</w:t>
      </w:r>
    </w:p>
    <w:p>
      <w:pPr>
        <w:rPr>
          <w:b w:val="0"/>
          <w:sz w:val="20"/>
        </w:rPr>
      </w:pPr>
      <w:r>
        <w:rPr>
          <w:b w:val="0"/>
          <w:sz w:val="20"/>
        </w:rPr>
        <w:t xml:space="preserve"/>
      </w:r>
    </w:p>
    <w:p>
      <w:pPr>
        <w:rPr>
          <w:b w:val="0"/>
          <w:sz w:val="20"/>
        </w:rPr>
      </w:pPr>
      <w:r>
        <w:rPr>
          <w:b w:val="0"/>
          <w:sz w:val="20"/>
        </w:rPr>
        <w:t xml:space="preserve">&gt; Scénario RN-01 — Le type à 10 ans pose l'échéance</w:t>
      </w:r>
    </w:p>
    <w:p>
      <w:pPr>
        <w:rPr>
          <w:b w:val="0"/>
          <w:sz w:val="20"/>
        </w:rPr>
      </w:pPr>
      <w:r>
        <w:rPr>
          <w:b w:val="0"/>
          <w:sz w:val="20"/>
        </w:rPr>
        <w:t xml:space="preserve">&gt; Quand un justificatif est classé vers un type `retentionAnnees: 10`</w:t>
      </w:r>
    </w:p>
    <w:p>
      <w:pPr>
        <w:rPr>
          <w:b w:val="0"/>
          <w:sz w:val="20"/>
        </w:rPr>
      </w:pPr>
      <w:r>
        <w:rPr>
          <w:b w:val="0"/>
          <w:sz w:val="20"/>
        </w:rPr>
        <w:t xml:space="preserve">&gt; Alors `retentionUntil` = classement + 10 ans, et l'événement de classement la porte</w:t>
      </w:r>
    </w:p>
    <w:p>
      <w:pPr>
        <w:rPr>
          <w:b w:val="0"/>
          <w:sz w:val="20"/>
        </w:rPr>
      </w:pPr>
      <w:r>
        <w:rPr>
          <w:b w:val="0"/>
          <w:sz w:val="20"/>
        </w:rPr>
        <w:t xml:space="preserve"/>
      </w:r>
    </w:p>
    <w:p>
      <w:pPr>
        <w:rPr>
          <w:b w:val="0"/>
          <w:sz w:val="20"/>
        </w:rPr>
      </w:pPr>
      <w:r>
        <w:rPr>
          <w:b w:val="0"/>
          <w:sz w:val="20"/>
        </w:rPr>
        <w:t xml:space="preserve">&gt; Scénario RN-02 — Sans durée, pas d'échéance</w:t>
      </w:r>
    </w:p>
    <w:p>
      <w:pPr>
        <w:rPr>
          <w:b w:val="0"/>
          <w:sz w:val="20"/>
        </w:rPr>
      </w:pPr>
      <w:r>
        <w:rPr>
          <w:b w:val="0"/>
          <w:sz w:val="20"/>
        </w:rPr>
        <w:t xml:space="preserve">&gt; Quand le type ne porte pas de durée Alors `retentionUntil` reste nul —</w:t>
      </w:r>
    </w:p>
    <w:p>
      <w:pPr>
        <w:rPr>
          <w:b w:val="0"/>
          <w:sz w:val="20"/>
        </w:rPr>
      </w:pPr>
      <w:r>
        <w:rPr>
          <w:b w:val="0"/>
          <w:sz w:val="20"/>
        </w:rPr>
        <w:t xml:space="preserve">&gt; le tick GD-11 ne proposera jamais ce document</w:t>
      </w:r>
    </w:p>
    <w:p>
      <w:pPr>
        <w:rPr>
          <w:b w:val="0"/>
          <w:sz w:val="20"/>
        </w:rPr>
      </w:pPr>
      <w:r>
        <w:rPr>
          <w:b w:val="0"/>
          <w:sz w:val="20"/>
        </w:rPr>
        <w:t xml:space="preserve"/>
      </w:r>
    </w:p>
    <w:p>
      <w:pPr>
        <w:rPr>
          <w:b w:val="0"/>
          <w:sz w:val="20"/>
        </w:rPr>
      </w:pPr>
      <w:r>
        <w:rPr>
          <w:b w:val="0"/>
          <w:sz w:val="20"/>
        </w:rPr>
        <w:t xml:space="preserve">&gt; Scénario RN-03 — Le chaînon complet</w:t>
      </w:r>
    </w:p>
    <w:p>
      <w:pPr>
        <w:rPr>
          <w:b w:val="0"/>
          <w:sz w:val="20"/>
        </w:rPr>
      </w:pPr>
      <w:r>
        <w:rPr>
          <w:b w:val="0"/>
          <w:sz w:val="20"/>
        </w:rPr>
        <w:t xml:space="preserve">&gt; Étant donné un document classé sous durée Quand le tick passe APRÈS l'échéance</w:t>
      </w:r>
    </w:p>
    <w:p>
      <w:pPr>
        <w:rPr>
          <w:b w:val="0"/>
          <w:sz w:val="20"/>
        </w:rPr>
      </w:pPr>
      <w:r>
        <w:rPr>
          <w:b w:val="0"/>
          <w:sz w:val="20"/>
        </w:rPr>
        <w:t xml:space="preserve">&gt; Alors la destruction est PROPOSÉE (GD-11, intouché) — statut toujours ACTIF (R39),</w:t>
      </w:r>
    </w:p>
    <w:p>
      <w:pPr>
        <w:rPr>
          <w:b w:val="0"/>
          <w:sz w:val="20"/>
        </w:rPr>
      </w:pPr>
      <w:r>
        <w:rPr>
          <w:b w:val="0"/>
          <w:sz w:val="20"/>
        </w:rPr>
        <w:t xml:space="preserve">&gt; une seule fois</w:t>
      </w:r>
    </w:p>
    <w:p>
      <w:pPr>
        <w:rPr>
          <w:b w:val="0"/>
          <w:sz w:val="20"/>
        </w:rPr>
      </w:pPr>
      <w:r>
        <w:rPr>
          <w:b w:val="0"/>
          <w:sz w:val="20"/>
        </w:rPr>
        <w:t xml:space="preserve"/>
      </w:r>
    </w:p>
    <w:p>
      <w:pPr>
        <w:rPr>
          <w:b w:val="0"/>
          <w:sz w:val="20"/>
        </w:rPr>
      </w:pPr>
      <w:r>
        <w:rPr>
          <w:b w:val="0"/>
          <w:sz w:val="20"/>
        </w:rPr>
        <w:t xml:space="preserve">&gt; Scénario RN-04 — Garde</w:t>
      </w:r>
    </w:p>
    <w:p>
      <w:pPr>
        <w:rPr>
          <w:b w:val="0"/>
          <w:sz w:val="20"/>
        </w:rPr>
      </w:pPr>
      <w:r>
        <w:rPr>
          <w:b w:val="0"/>
          <w:sz w:val="20"/>
        </w:rPr>
        <w:t xml:space="preserve">&gt; Quand l'échéance est posée Alors rien n'est bloqué : le document se cherche, se</w:t>
      </w:r>
    </w:p>
    <w:p>
      <w:pPr>
        <w:rPr>
          <w:b w:val="0"/>
          <w:sz w:val="20"/>
        </w:rPr>
      </w:pPr>
      <w:r>
        <w:rPr>
          <w:b w:val="0"/>
          <w:sz w:val="20"/>
        </w:rPr>
        <w:t xml:space="preserve">&gt; consulte, vit — l'échéance est une DATE, pas une punition</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`ged-ingestion.classer` : calcule `retentionUntil` depuis `typ.retentionAnnees` — SEULE modification ; GD-11 (`tickRetention`) INTOUCHÉ |</w:t>
      </w:r>
    </w:p>
    <w:p>
      <w:pPr>
        <w:rPr>
          <w:b w:val="0"/>
          <w:sz w:val="20"/>
        </w:rPr>
      </w:pPr>
      <w:r>
        <w:rPr>
          <w:b w:val="0"/>
          <w:sz w:val="20"/>
        </w:rPr>
        <w:t xml:space="preserve">| Paramètres R-Q | aucune clé nouvelle : `retentionAnnees` vit dans `gedDocTypes` (description du registre mise à jour) |</w:t>
      </w:r>
    </w:p>
    <w:p>
      <w:pPr>
        <w:rPr>
          <w:b w:val="0"/>
          <w:sz w:val="20"/>
        </w:rPr>
      </w:pPr>
      <w:r>
        <w:rPr>
          <w:b w:val="0"/>
          <w:sz w:val="20"/>
        </w:rPr>
        <w:t xml:space="preserve">| Événement | `ged.classement` porte désormais `retentionUntil` (nullable) |</w:t>
      </w:r>
    </w:p>
    <w:p>
      <w:pPr>
        <w:rPr>
          <w:b w:val="0"/>
          <w:sz w:val="20"/>
        </w:rPr>
      </w:pPr>
      <w:r>
        <w:rPr>
          <w:b w:val="0"/>
          <w:sz w:val="20"/>
        </w:rPr>
        <w:t xml:space="preserve">| Non-régression | suites GI + CB existantes vertes obligatoires après modification |</w:t>
      </w:r>
    </w:p>
    <w:p>
      <w:pPr>
        <w:rPr>
          <w:b w:val="0"/>
          <w:sz w:val="20"/>
        </w:rPr>
      </w:pPr>
      <w:r>
        <w:rPr>
          <w:b w:val="0"/>
          <w:sz w:val="20"/>
        </w:rPr>
        <w:t xml:space="preserve"/>
      </w:r>
    </w:p>
    <w:p>
      <w:pPr>
        <w:rPr>
          <w:b w:val="0"/>
          <w:sz w:val="20"/>
        </w:rPr>
      </w:pPr>
      <w:r>
        <w:rPr>
          <w:b w:val="0"/>
          <w:sz w:val="20"/>
        </w:rPr>
        <w:t xml:space="preserve">Tests : RN-01..04 (`retention.wiring.spec.ts`), écrits avant la modification.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v4.15 → v4.16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R167 → R170</w:t>
      </w:r>
    </w:p>
    <w:p>
      <w:pPr>
        <w:rPr>
          <w:b w:val="0"/>
          <w:sz w:val="20"/>
        </w:rPr>
      </w:pPr>
      <w:r>
        <w:rPr>
          <w:b w:val="0"/>
          <w:sz w:val="20"/>
        </w:rPr>
        <w:t xml:space="preserve">(Bloc 33 · Le core banking est un port + R170 · La rétention naît au classement).</w:t>
      </w:r>
    </w:p>
    <w:p>
      <w:pPr>
        <w:rPr>
          <w:b w:val="0"/>
          <w:sz w:val="20"/>
        </w:rPr>
      </w:pPr>
      <w:r>
        <w:rPr>
          <w:b w:val="0"/>
          <w:sz w:val="20"/>
        </w:rPr>
        <w:t xml:space="preserve">Page de garde Word : v4.16.</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33 · Le core banking est un port | R167 R168 R169 | SY-01..05 | 5/5 |</w:t>
      </w:r>
    </w:p>
    <w:p>
      <w:pPr>
        <w:rPr>
          <w:b w:val="0"/>
          <w:sz w:val="20"/>
        </w:rPr>
      </w:pPr>
      <w:r>
        <w:rPr>
          <w:b w:val="0"/>
          <w:sz w:val="20"/>
        </w:rPr>
        <w:t xml:space="preserve">| La rétention naît au classement | R170 | RN-01..04 | 4/4 |</w:t>
      </w:r>
    </w:p>
    <w:p>
      <w:pPr>
        <w:rPr>
          <w:b w:val="0"/>
          <w:sz w:val="20"/>
        </w:rPr>
      </w:pPr>
      <w:r>
        <w:rPr>
          <w:b w:val="0"/>
          <w:sz w:val="20"/>
        </w:rPr>
        <w:t xml:space="preserve"/>
      </w:r>
    </w:p>
    <w:p>
      <w:pPr>
        <w:rPr>
          <w:b w:val="0"/>
          <w:sz w:val="20"/>
        </w:rPr>
      </w:pPr>
      <w:r>
        <w:rPr>
          <w:b w:val="0"/>
          <w:sz w:val="20"/>
        </w:rPr>
        <w:t xml:space="preserve">- Scénarios catalogue : 250 (v4.15) + SY 5 + RN 4 = 259 IDs.</w:t>
      </w:r>
    </w:p>
    <w:p>
      <w:pPr>
        <w:rPr>
          <w:b w:val="0"/>
          <w:sz w:val="20"/>
        </w:rPr>
      </w:pPr>
      <w:r>
        <w:rPr>
          <w:b w:val="0"/>
          <w:sz w:val="20"/>
        </w:rPr>
        <w:t xml:space="preserve">- Corpus backend : 279 + 5 + 4 = 288 (harnais canon ET miroir, identiques).</w:t>
      </w:r>
    </w:p>
    <w:p>
      <w:pPr>
        <w:rPr>
          <w:b w:val="0"/>
          <w:sz w:val="20"/>
        </w:rPr>
      </w:pPr>
      <w:r>
        <w:rPr>
          <w:b w:val="0"/>
          <w:sz w:val="20"/>
        </w:rPr>
        <w:t xml:space="preserve">- Le sine qua non suisse est du droit interne : port DÉCLARÉ jamais simulé (R167), lot</w:t>
      </w:r>
    </w:p>
    <w:p>
      <w:pPr>
        <w:rPr>
          <w:b w:val="0"/>
          <w:sz w:val="20"/>
        </w:rPr>
      </w:pPr>
      <w:r>
        <w:rPr>
          <w:b w:val="0"/>
          <w:sz w:val="20"/>
        </w:rPr>
        <w:t xml:space="preserve">  SIGNÉ lecture seule par construction (R168), mapping versionné à date de mise en vigueur</w:t>
      </w:r>
    </w:p>
    <w:p>
      <w:pPr>
        <w:rPr>
          <w:b w:val="0"/>
          <w:sz w:val="20"/>
        </w:rPr>
      </w:pPr>
      <w:r>
        <w:rPr>
          <w:b w:val="0"/>
          <w:sz w:val="20"/>
        </w:rPr>
        <w:t xml:space="preserve">  et QUARANTAINE pour l'inconnu (R169). La règle de vente : « nous ne demandons pas à la</w:t>
      </w:r>
    </w:p>
    <w:p>
      <w:pPr>
        <w:rPr>
          <w:b w:val="0"/>
          <w:sz w:val="20"/>
        </w:rPr>
      </w:pPr>
      <w:r>
        <w:rPr>
          <w:b w:val="0"/>
          <w:sz w:val="20"/>
        </w:rPr>
        <w:t xml:space="preserve">  banque de remplacer son core — nous demandons au core de passer par un port, en lecture</w:t>
      </w:r>
    </w:p>
    <w:p>
      <w:pPr>
        <w:rPr>
          <w:b w:val="0"/>
          <w:sz w:val="20"/>
        </w:rPr>
      </w:pPr>
      <w:r>
        <w:rPr>
          <w:b w:val="0"/>
          <w:sz w:val="20"/>
        </w:rPr>
        <w:t xml:space="preserve">  seule, signé ligne à ligne. »</w:t>
      </w:r>
    </w:p>
    <w:p>
      <w:pPr>
        <w:rPr>
          <w:b w:val="0"/>
          <w:sz w:val="20"/>
        </w:rPr>
      </w:pPr>
      <w:r>
        <w:rPr>
          <w:b w:val="0"/>
          <w:sz w:val="20"/>
        </w:rPr>
        <w:t xml:space="preserve">- R170 ferme le chaînon manquant trouvé à l'audit du paramétrage : le type porte</w:t>
      </w:r>
    </w:p>
    <w:p>
      <w:pPr>
        <w:rPr>
          <w:b w:val="0"/>
          <w:sz w:val="20"/>
        </w:rPr>
      </w:pPr>
      <w:r>
        <w:rPr>
          <w:b w:val="0"/>
          <w:sz w:val="20"/>
        </w:rPr>
        <w:t xml:space="preserve">  `retentionAnnees` (dans `gedDocTypes` — la clé maîtresse s'enrichit), le classement pose</w:t>
      </w:r>
    </w:p>
    <w:p>
      <w:pPr>
        <w:rPr>
          <w:b w:val="0"/>
          <w:sz w:val="20"/>
        </w:rPr>
      </w:pPr>
      <w:r>
        <w:rPr>
          <w:b w:val="0"/>
          <w:sz w:val="20"/>
        </w:rPr>
        <w:t xml:space="preserve">  l'échéance, GD-11 propose, l'humain décide (R7), rien ne bloque (R39).</w:t>
      </w:r>
    </w:p>
    <w:p>
      <w:pPr>
        <w:rPr>
          <w:b w:val="0"/>
          <w:sz w:val="20"/>
        </w:rPr>
      </w:pPr>
      <w:r>
        <w:rPr>
          <w:b w:val="0"/>
          <w:sz w:val="20"/>
        </w:rPr>
        <w:t xml:space="preserve">- Familles SY et RN — la vérification systématique a évité ses 4e collisions (RT pris).</w:t>
      </w:r>
    </w:p>
    <w:p>
      <w:pPr>
        <w:rPr>
          <w:b w:val="0"/>
          <w:sz w:val="20"/>
        </w:rPr>
      </w:pPr>
      <w:r>
        <w:rPr>
          <w:b w:val="0"/>
          <w:sz w:val="20"/>
        </w:rPr>
        <w:t xml:space="preserve">- Paramètres R-Q : `coreMapping` · `coreSystemeRef` · `gedDocTypes.retentionAnnees`.</w:t>
      </w:r>
    </w:p>
    <w:p>
      <w:pPr>
        <w:rPr>
          <w:b w:val="0"/>
          <w:sz w:val="20"/>
        </w:rPr>
      </w:pPr>
      <w:r>
        <w:rPr>
          <w:b w:val="0"/>
          <w:sz w:val="20"/>
        </w:rPr>
        <w:t xml:space="preserve">- Catalogue : R1 → R170, aucune règle proposée. Consolidation anti-régression active</w:t>
      </w:r>
    </w:p>
    <w:p>
      <w:pPr>
        <w:rPr>
          <w:b w:val="0"/>
          <w:sz w:val="20"/>
        </w:rPr>
      </w:pPr>
      <w:r>
        <w:rPr>
          <w:b w:val="0"/>
          <w:sz w:val="20"/>
        </w:rPr>
        <w:t xml:space="preserve">  (canon unique, miroir reconstruit, batterie v2 à 6 contrôles).</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