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4.11 — 20 juillet 2026 · Intègre les ratifications du 15.07 (R89→R103), du 19.07 (R104→R132) et du 20.07 (R133→R151, dont la Recherche — trouver sans trahir : index dérivé rejouable, habilitation au résultat, l'existence est une information). 229 identifiants de scénarios · 250 tests de corpus ratifiés.</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p>
      <w:pPr>
        <w:pStyle w:val="Heading1"/>
        <w:spacing w:after="200"/>
      </w:pPr>
      <w:r>
        <w:rPr/>
        <w:t xml:space="preserve">Bloc 25 — Portail transactionnel R140 → R143 (RATIFIÉ 20.07.2026)</w:t>
      </w:r>
    </w:p>
    <w:p>
      <w:pPr>
        <w:spacing w:after="100"/>
      </w:pPr>
      <w:r>
        <w:rPr>
          <w:b/>
        </w:rPr>
        <w:t xml:space="preserve">Statut : RATIFIÉ le 20.07.2026 par Ali Gharsallah.</w:t>
      </w:r>
    </w:p>
    <w:p>
      <w:pPr>
        <w:spacing w:after="100"/>
      </w:pPr>
      <w:r>
        <w:rPr/>
        <w:t xml:space="preserve">Numérotation continue après R139. Famille de scénarios : </w:t>
      </w:r>
      <w:r>
        <w:rPr>
          <w:b/>
        </w:rPr>
        <w:t xml:space="preserve">TX</w:t>
      </w:r>
      <w:r>
        <w:rPr/>
        <w:t xml:space="preserve"> (vérifiée libre — Word + spec).</w:t>
      </w:r>
    </w:p>
    <w:p>
      <w:pPr>
        <w:spacing w:after="100"/>
      </w:pPr>
      <w:r>
        <w:rPr>
          <w:b/>
        </w:rPr>
        <w:t xml:space="preserve">Le catalogue précède le code.</w:t>
      </w:r>
    </w:p>
    <w:p>
      <w:pPr>
        <w:pStyle w:val="Heading2"/>
        <w:spacing w:after="140"/>
      </w:pPr>
      <w:r>
        <w:rPr/>
        <w:t xml:space="preserve">Origine réglementaire (vérifiée à la source)</w:t>
      </w:r>
    </w:p>
    <w:p>
      <w:pPr>
        <w:ind w:left="420"/>
        <w:spacing w:after="40"/>
      </w:pPr>
      <w:r>
        <w:rPr/>
        <w:t xml:space="preserve">·  </w:t>
      </w:r>
      <w:r>
        <w:rPr>
          <w:b/>
        </w:rPr>
        <w:t xml:space="preserve">FATF, 7e Targeted Update on Virtual Assets (juillet 2026)</w:t>
      </w:r>
      <w:r>
        <w:rPr/>
        <w:t xml:space="preserve"> : le régulateur attend des</w:t>
      </w:r>
    </w:p>
    <w:p>
      <w:pPr>
        <w:spacing w:after="100"/>
      </w:pPr>
      <w:r>
        <w:rPr/>
        <w:t xml:space="preserve">  capacités de *blocage et de gel* — pas des outils qui alertent quand les avoirs ont déjà</w:t>
      </w:r>
    </w:p>
    <w:p>
      <w:pPr>
        <w:spacing w:after="100"/>
      </w:pPr>
      <w:r>
        <w:rPr/>
        <w:t xml:space="preserve">  bougé. La direction est la </w:t>
      </w:r>
      <w:r>
        <w:rPr>
          <w:b/>
        </w:rPr>
        <w:t xml:space="preserve">prévention</w:t>
      </w:r>
      <w:r>
        <w:rPr/>
        <w:t xml:space="preserve">, non l'investigation rétrospective. La vitesse et</w:t>
      </w:r>
    </w:p>
    <w:p>
      <w:pPr>
        <w:spacing w:after="100"/>
      </w:pPr>
      <w:r>
        <w:rPr/>
        <w:t xml:space="preserve">  les motifs de mouvement (transferts rapides, conversions fiat-crypto) sont eux-mêmes des</w:t>
      </w:r>
    </w:p>
    <w:p>
      <w:pPr>
        <w:spacing w:after="100"/>
      </w:pPr>
      <w:r>
        <w:rPr/>
        <w:t xml:space="preserve">  indicateurs — et la classification d'onboarding ne suffit pas quand le comportement</w:t>
      </w:r>
    </w:p>
    <w:p>
      <w:pPr>
        <w:spacing w:after="100"/>
      </w:pPr>
      <w:r>
        <w:rPr/>
        <w:t xml:space="preserve">  transactionnel s'en écarte.</w:t>
      </w:r>
    </w:p>
    <w:p>
      <w:pPr>
        <w:ind w:left="420"/>
        <w:spacing w:after="40"/>
      </w:pPr>
      <w:r>
        <w:rPr/>
        <w:t xml:space="preserve">·  </w:t>
      </w:r>
      <w:r>
        <w:rPr>
          <w:b/>
        </w:rPr>
        <w:t xml:space="preserve">FINMA Guidance 02/2026 « Digital fraud risks » (09.04.2026)</w:t>
      </w:r>
      <w:r>
        <w:rPr/>
        <w:t xml:space="preserve"> : constat d'enquête — les</w:t>
      </w:r>
    </w:p>
    <w:p>
      <w:pPr>
        <w:spacing w:after="100"/>
      </w:pPr>
      <w:r>
        <w:rPr/>
        <w:t xml:space="preserve">  données KYC ne servent qu'à des contrôles de plausibilité, pas à la surveillance des</w:t>
      </w:r>
    </w:p>
    <w:p>
      <w:pPr>
        <w:spacing w:after="100"/>
      </w:pPr>
      <w:r>
        <w:rPr/>
        <w:t xml:space="preserve">  transactions ; les seuils fixes (100-200 kCHF pour des clients « low risk ») remplacent les</w:t>
      </w:r>
    </w:p>
    <w:p>
      <w:pPr>
        <w:spacing w:after="100"/>
      </w:pPr>
      <w:r>
        <w:rPr/>
        <w:t xml:space="preserve">  scénarios analytiques et </w:t>
      </w:r>
      <w:r>
        <w:rPr>
          <w:b/>
        </w:rPr>
        <w:t xml:space="preserve">facilitent fraude et money mules</w:t>
      </w:r>
      <w:r>
        <w:rPr/>
        <w:t xml:space="preserve">. Attente : détection</w:t>
      </w:r>
    </w:p>
    <w:p>
      <w:pPr>
        <w:spacing w:after="100"/>
      </w:pPr>
      <w:r>
        <w:rPr/>
        <w:t xml:space="preserve">  *proactive, rapide, systématique* — l'identification tardive empêche le blocage effectif.</w:t>
      </w:r>
    </w:p>
    <w:p>
      <w:pPr>
        <w:pStyle w:val="Heading2"/>
        <w:spacing w:after="140"/>
      </w:pPr>
      <w:r>
        <w:rPr/>
        <w:t xml:space="preserve">Le problème O-Live — la dernière brique manquante de la chaîne AML</w:t>
      </w:r>
    </w:p>
    <w:p>
      <w:pPr>
        <w:spacing w:after="100"/>
      </w:pPr>
      <w:r>
        <w:rPr/>
        <w:t xml:space="preserve">Tout existe SAUF le point de passage : le gel art. 10 (R131) expose </w:t>
      </w:r>
      <w:r>
        <w:rPr>
          <w:rFonts w:ascii="Consolas" w:hAnsi="Consolas"/>
          <w:sz w:val="18"/>
        </w:rPr>
        <w:t xml:space="preserve">verifierTransaction</w:t>
      </w:r>
      <w:r>
        <w:rPr/>
        <w:t xml:space="preserve"> que</w:t>
      </w:r>
    </w:p>
    <w:p>
      <w:pPr>
        <w:spacing w:after="100"/>
      </w:pPr>
      <w:r>
        <w:rPr>
          <w:b/>
        </w:rPr>
        <w:t xml:space="preserve">personne n'appelle</w:t>
      </w:r>
      <w:r>
        <w:rPr/>
        <w:t xml:space="preserve"> ; le pré-trade (R106) ne couvre que le PMS ; les signaux (R80-82)</w:t>
      </w:r>
    </w:p>
    <w:p>
      <w:pPr>
        <w:spacing w:after="100"/>
      </w:pPr>
      <w:r>
        <w:rPr/>
        <w:t xml:space="preserve">constatent APRÈS. Quatre règles créent </w:t>
      </w:r>
      <w:r>
        <w:rPr>
          <w:b/>
        </w:rPr>
        <w:t xml:space="preserve">LE portail</w:t>
      </w:r>
      <w:r>
        <w:rPr/>
        <w:t xml:space="preserve"> — un point de passage unique,</w:t>
      </w:r>
    </w:p>
    <w:p>
      <w:pPr>
        <w:spacing w:after="100"/>
      </w:pPr>
      <w:r>
        <w:rPr/>
        <w:t xml:space="preserve">pré-exécution, où le golden record et le KYC nourrissent enfin la décision transactionnelle</w:t>
      </w:r>
    </w:p>
    <w:p>
      <w:pPr>
        <w:spacing w:after="100"/>
      </w:pPr>
      <w:r>
        <w:rPr/>
        <w:t xml:space="preserve">(l'inverse exact du constat FINMA).</w:t>
      </w:r>
    </w:p>
    <w:p>
      <w:pPr>
        <w:pStyle w:val="Heading2"/>
        <w:spacing w:after="140"/>
      </w:pPr>
      <w:r>
        <w:rPr/>
        <w:t xml:space="preserve">R140 — Aucune transaction ne s'exécute sans verdict du portail</w:t>
      </w:r>
    </w:p>
    <w:p>
      <w:pPr>
        <w:spacing w:after="100"/>
      </w:pPr>
      <w:r>
        <w:rPr/>
        <w:t xml:space="preserve">Toute transaction (virement, ordre, conversion) passe par </w:t>
      </w:r>
      <w:r>
        <w:rPr>
          <w:b/>
        </w:rPr>
        <w:t xml:space="preserve">le portail</w:t>
      </w:r>
      <w:r>
        <w:rPr/>
        <w:t xml:space="preserve"> AVANT exécution —</w:t>
      </w:r>
    </w:p>
    <w:p>
      <w:pPr>
        <w:spacing w:after="100"/>
      </w:pPr>
      <w:r>
        <w:rPr/>
        <w:t xml:space="preserve">contrainte structurelle (pattern R13), pas convention d'appel. Le portail consulte les gardes</w:t>
      </w:r>
    </w:p>
    <w:p>
      <w:pPr>
        <w:spacing w:after="100"/>
      </w:pPr>
      <w:r>
        <w:rPr/>
        <w:t xml:space="preserve">enregistrées et rend UN verdict : </w:t>
      </w:r>
      <w:r>
        <w:rPr>
          <w:rFonts w:ascii="Consolas" w:hAnsi="Consolas"/>
          <w:sz w:val="18"/>
        </w:rPr>
        <w:t xml:space="preserve">PASSE</w:t>
      </w:r>
      <w:r>
        <w:rPr/>
        <w:t xml:space="preserve"> | </w:t>
      </w:r>
      <w:r>
        <w:rPr>
          <w:rFonts w:ascii="Consolas" w:hAnsi="Consolas"/>
          <w:sz w:val="18"/>
        </w:rPr>
        <w:t xml:space="preserve">BLOQUE</w:t>
      </w:r>
      <w:r>
        <w:rPr/>
        <w:t xml:space="preserve"> | </w:t>
      </w:r>
      <w:r>
        <w:rPr>
          <w:rFonts w:ascii="Consolas" w:hAnsi="Consolas"/>
          <w:sz w:val="18"/>
        </w:rPr>
        <w:t xml:space="preserve">SUSPEND</w:t>
      </w:r>
      <w:r>
        <w:rPr/>
        <w:t xml:space="preserve"> (revue humaine) — **tracé</w:t>
      </w:r>
    </w:p>
    <w:p>
      <w:pPr>
        <w:spacing w:after="100"/>
      </w:pPr>
      <w:r>
        <w:rPr/>
        <w:t xml:space="preserve">avec le détail de chaque garde consultée** (R48/R49 : le verdict se rejoue). Rien ne bouge</w:t>
      </w:r>
    </w:p>
    <w:p>
      <w:pPr>
        <w:spacing w:after="100"/>
      </w:pPr>
      <w:r>
        <w:rPr/>
        <w:t xml:space="preserve">avant le verdict : prévention, pas constat.</w:t>
      </w:r>
    </w:p>
    <w:p>
      <w:pPr>
        <w:ind w:left="420"/>
        <w:spacing w:after="40"/>
      </w:pPr>
      <w:r>
        <w:rPr>
          <w:b/>
          <w:i/>
        </w:rPr>
        <w:t xml:space="preserve">Scénario TX-01 — Le portail décide avant, et motive</w:t>
      </w:r>
    </w:p>
    <w:p>
      <w:pPr>
        <w:ind w:left="420"/>
        <w:spacing w:after="40"/>
      </w:pPr>
      <w:r>
        <w:rPr>
          <w:b/>
          <w:i/>
        </w:rPr>
        <w:t xml:space="preserve">Quand</w:t>
      </w:r>
      <w:r>
        <w:rPr>
          <w:i/>
        </w:rPr>
        <w:t xml:space="preserve"> une transaction ordinaire passe </w:t>
      </w:r>
      <w:r>
        <w:rPr>
          <w:b/>
          <w:i/>
        </w:rPr>
        <w:t xml:space="preserve">Alors</w:t>
      </w:r>
      <w:r>
        <w:rPr>
          <w:i/>
        </w:rPr>
        <w:t xml:space="preserve"> verdict PASSE, tracé avec les gardes consultées</w:t>
      </w:r>
    </w:p>
    <w:p>
      <w:pPr>
        <w:ind w:left="420"/>
        <w:spacing w:after="40"/>
      </w:pPr>
      <w:r>
        <w:rPr>
          <w:b/>
          <w:i/>
        </w:rPr>
        <w:t xml:space="preserve">Quand</w:t>
      </w:r>
      <w:r>
        <w:rPr>
          <w:i/>
        </w:rPr>
        <w:t xml:space="preserve"> le gel art. 10 est actif sur le client </w:t>
      </w:r>
      <w:r>
        <w:rPr>
          <w:b/>
          <w:i/>
        </w:rPr>
        <w:t xml:space="preserve">Alors</w:t>
      </w:r>
      <w:r>
        <w:rPr>
          <w:i/>
        </w:rPr>
        <w:t xml:space="preserve"> verdict BLOQUE, motif légal porté,</w:t>
      </w:r>
    </w:p>
    <w:p>
      <w:pPr>
        <w:ind w:left="420"/>
        <w:spacing w:after="40"/>
      </w:pPr>
      <w:r>
        <w:rPr>
          <w:i/>
        </w:rPr>
        <w:t xml:space="preserve">la garde MROS (R131) identifiée dans la trace — le gel a ENFIN son appelant</w:t>
      </w:r>
    </w:p>
    <w:p>
      <w:pPr>
        <w:pStyle w:val="Heading2"/>
        <w:spacing w:after="140"/>
      </w:pPr>
      <w:r>
        <w:rPr/>
        <w:t xml:space="preserve">R141 — Les gardes sont un registre — et l'inconnu suspend (fail-secure)</w:t>
      </w:r>
    </w:p>
    <w:p>
      <w:pPr>
        <w:spacing w:after="100"/>
      </w:pPr>
      <w:r>
        <w:rPr/>
        <w:t xml:space="preserve">Chaque garde est un </w:t>
      </w:r>
      <w:r>
        <w:rPr>
          <w:b/>
        </w:rPr>
        <w:t xml:space="preserve">module déclaré au registre</w:t>
      </w:r>
      <w:r>
        <w:rPr/>
        <w:t xml:space="preserve"> (code, règle liée, sévérité paramétrable</w:t>
      </w:r>
    </w:p>
    <w:p>
      <w:pPr>
        <w:spacing w:after="100"/>
      </w:pPr>
      <w:r>
        <w:rPr/>
        <w:t xml:space="preserve">tenant : </w:t>
      </w:r>
      <w:r>
        <w:rPr>
          <w:rFonts w:ascii="Consolas" w:hAnsi="Consolas"/>
          <w:sz w:val="18"/>
        </w:rPr>
        <w:t xml:space="preserve">BLOQUANT</w:t>
      </w:r>
      <w:r>
        <w:rPr/>
        <w:t xml:space="preserve"> | </w:t>
      </w:r>
      <w:r>
        <w:rPr>
          <w:rFonts w:ascii="Consolas" w:hAnsi="Consolas"/>
          <w:sz w:val="18"/>
        </w:rPr>
        <w:t xml:space="preserve">SUSPENSIF</w:t>
      </w:r>
      <w:r>
        <w:rPr/>
        <w:t xml:space="preserve"> | </w:t>
      </w:r>
      <w:r>
        <w:rPr>
          <w:rFonts w:ascii="Consolas" w:hAnsi="Consolas"/>
          <w:sz w:val="18"/>
        </w:rPr>
        <w:t xml:space="preserve">INFORMATIF</w:t>
      </w:r>
      <w:r>
        <w:rPr/>
        <w:t xml:space="preserve"> — R-Q </w:t>
      </w:r>
      <w:r>
        <w:rPr>
          <w:rFonts w:ascii="Consolas" w:hAnsi="Consolas"/>
          <w:sz w:val="18"/>
        </w:rPr>
        <w:t xml:space="preserve">txGardes</w:t>
      </w:r>
      <w:r>
        <w:rPr/>
        <w:t xml:space="preserve">). Le portail les exécute</w:t>
      </w:r>
    </w:p>
    <w:p>
      <w:pPr>
        <w:spacing w:after="100"/>
      </w:pPr>
      <w:r>
        <w:rPr/>
        <w:t xml:space="preserve">toutes ; le verdict global = le pire. </w:t>
      </w:r>
      <w:r>
        <w:rPr>
          <w:b/>
        </w:rPr>
        <w:t xml:space="preserve">Une garde en erreur ou inconnue → SUSPEND</w:t>
      </w:r>
      <w:r>
        <w:rPr/>
        <w:t xml:space="preserve"> : le</w:t>
      </w:r>
    </w:p>
    <w:p>
      <w:pPr>
        <w:spacing w:after="100"/>
      </w:pPr>
      <w:r>
        <w:rPr/>
        <w:t xml:space="preserve">portail échoue vers la sécurité, jamais vers le passage (default-deny transactionnel).</w:t>
      </w:r>
    </w:p>
    <w:p>
      <w:pPr>
        <w:ind w:left="420"/>
        <w:spacing w:after="40"/>
      </w:pPr>
      <w:r>
        <w:rPr>
          <w:b/>
          <w:i/>
        </w:rPr>
        <w:t xml:space="preserve">Scénario TX-02 — Le pire l'emporte, l'erreur suspend</w:t>
      </w:r>
    </w:p>
    <w:p>
      <w:pPr>
        <w:ind w:left="420"/>
        <w:spacing w:after="40"/>
      </w:pPr>
      <w:r>
        <w:rPr>
          <w:b/>
          <w:i/>
        </w:rPr>
        <w:t xml:space="preserve">Quand</w:t>
      </w:r>
      <w:r>
        <w:rPr>
          <w:i/>
        </w:rPr>
        <w:t xml:space="preserve"> deux gardes rendent INFORMATIF et SUSPENSIF </w:t>
      </w:r>
      <w:r>
        <w:rPr>
          <w:b/>
          <w:i/>
        </w:rPr>
        <w:t xml:space="preserve">Alors</w:t>
      </w:r>
      <w:r>
        <w:rPr>
          <w:i/>
        </w:rPr>
        <w:t xml:space="preserve"> verdict SUSPEND</w:t>
      </w:r>
    </w:p>
    <w:p>
      <w:pPr>
        <w:ind w:left="420"/>
        <w:spacing w:after="40"/>
      </w:pPr>
      <w:r>
        <w:rPr>
          <w:b/>
          <w:i/>
        </w:rPr>
        <w:t xml:space="preserve">Quand</w:t>
      </w:r>
      <w:r>
        <w:rPr>
          <w:i/>
        </w:rPr>
        <w:t xml:space="preserve"> une garde LÈVE une exception </w:t>
      </w:r>
      <w:r>
        <w:rPr>
          <w:b/>
          <w:i/>
        </w:rPr>
        <w:t xml:space="preserve">Alors</w:t>
      </w:r>
      <w:r>
        <w:rPr>
          <w:i/>
        </w:rPr>
        <w:t xml:space="preserve"> SUSPEND (jamais PASSE), l'erreur tracée</w:t>
      </w:r>
    </w:p>
    <w:p>
      <w:pPr>
        <w:ind w:left="420"/>
        <w:spacing w:after="40"/>
      </w:pPr>
      <w:r>
        <w:rPr>
          <w:b/>
          <w:i/>
        </w:rPr>
        <w:t xml:space="preserve">Scénario TX-03 — La sévérité est un paramètre tenant</w:t>
      </w:r>
    </w:p>
    <w:p>
      <w:pPr>
        <w:ind w:left="420"/>
        <w:spacing w:after="40"/>
      </w:pPr>
      <w:r>
        <w:rPr>
          <w:b/>
          <w:i/>
        </w:rPr>
        <w:t xml:space="preserve">Étant donné</w:t>
      </w:r>
      <w:r>
        <w:rPr>
          <w:i/>
        </w:rPr>
        <w:t xml:space="preserve"> un tenant qui déclasse la garde vélocité en INFORMATIF</w:t>
      </w:r>
    </w:p>
    <w:p>
      <w:pPr>
        <w:ind w:left="420"/>
        <w:spacing w:after="40"/>
      </w:pPr>
      <w:r>
        <w:rPr>
          <w:b/>
          <w:i/>
        </w:rPr>
        <w:t xml:space="preserve">Quand</w:t>
      </w:r>
      <w:r>
        <w:rPr>
          <w:i/>
        </w:rPr>
        <w:t xml:space="preserve"> elle se déclenche seule </w:t>
      </w:r>
      <w:r>
        <w:rPr>
          <w:b/>
          <w:i/>
        </w:rPr>
        <w:t xml:space="preserve">Alors</w:t>
      </w:r>
      <w:r>
        <w:rPr>
          <w:i/>
        </w:rPr>
        <w:t xml:space="preserve"> PASSE + signal informatif tracé (R-Q fait foi)</w:t>
      </w:r>
    </w:p>
    <w:p>
      <w:pPr>
        <w:pStyle w:val="Heading2"/>
        <w:spacing w:after="140"/>
      </w:pPr>
      <w:r>
        <w:rPr/>
        <w:t xml:space="preserve">R142 — L'écart de comportement est une garde — le KYC nourrit la transaction</w:t>
      </w:r>
    </w:p>
    <w:p>
      <w:pPr>
        <w:spacing w:after="100"/>
      </w:pPr>
      <w:r>
        <w:rPr/>
        <w:t xml:space="preserve">La garde </w:t>
      </w:r>
      <w:r>
        <w:rPr>
          <w:b/>
        </w:rPr>
        <w:t xml:space="preserve">comportement</w:t>
      </w:r>
      <w:r>
        <w:rPr/>
        <w:t xml:space="preserve"> confronte le profil ONBOARDÉ (golden record : riskLevel, activité</w:t>
      </w:r>
    </w:p>
    <w:p>
      <w:pPr>
        <w:spacing w:after="100"/>
      </w:pPr>
      <w:r>
        <w:rPr/>
        <w:t xml:space="preserve">déclarée, volumétrie attendue) au comportement CONSTATÉ : vélocité (n transactions / fenêtre),</w:t>
      </w:r>
    </w:p>
    <w:p>
      <w:pPr>
        <w:spacing w:after="100"/>
      </w:pPr>
      <w:r>
        <w:rPr/>
        <w:t xml:space="preserve">montant vs profil (seuils </w:t>
      </w:r>
      <w:r>
        <w:rPr>
          <w:b/>
        </w:rPr>
        <w:t xml:space="preserve">par profil de risque</w:t>
      </w:r>
      <w:r>
        <w:rPr/>
        <w:t xml:space="preserve">, pas un seuil fixe — la réponse au constat</w:t>
      </w:r>
    </w:p>
    <w:p>
      <w:pPr>
        <w:spacing w:after="100"/>
      </w:pPr>
      <w:r>
        <w:rPr/>
        <w:t xml:space="preserve">FINMA), motifs virtuels (conversion fiat-crypto rapide, aller-retour). Déclenchement →</w:t>
      </w:r>
    </w:p>
    <w:p>
      <w:pPr>
        <w:spacing w:after="100"/>
      </w:pPr>
      <w:r>
        <w:rPr>
          <w:rFonts w:ascii="Consolas" w:hAnsi="Consolas"/>
          <w:sz w:val="18"/>
        </w:rPr>
        <w:t xml:space="preserve">SUSPEND</w:t>
      </w:r>
      <w:r>
        <w:rPr/>
        <w:t xml:space="preserve"> + </w:t>
      </w:r>
      <w:r>
        <w:rPr>
          <w:b/>
        </w:rPr>
        <w:t xml:space="preserve">signal AML</w:t>
      </w:r>
      <w:r>
        <w:rPr/>
        <w:t xml:space="preserve"> (chaîne R80-82) + </w:t>
      </w:r>
      <w:r>
        <w:rPr>
          <w:b/>
        </w:rPr>
        <w:t xml:space="preserve">tâche de requalification</w:t>
      </w:r>
      <w:r>
        <w:rPr/>
        <w:t xml:space="preserve"> (R44 : l'humain</w:t>
      </w:r>
    </w:p>
    <w:p>
      <w:pPr>
        <w:spacing w:after="100"/>
      </w:pPr>
      <w:r>
        <w:rPr/>
        <w:t xml:space="preserve">décide de reclasser, jamais le système).</w:t>
      </w:r>
    </w:p>
    <w:p>
      <w:pPr>
        <w:ind w:left="420"/>
        <w:spacing w:after="40"/>
      </w:pPr>
      <w:r>
        <w:rPr>
          <w:b/>
          <w:i/>
        </w:rPr>
        <w:t xml:space="preserve">Scénario TX-04 — Le retail « low risk » qui bouge comme un VASP</w:t>
      </w:r>
    </w:p>
    <w:p>
      <w:pPr>
        <w:ind w:left="420"/>
        <w:spacing w:after="40"/>
      </w:pPr>
      <w:r>
        <w:rPr>
          <w:b/>
          <w:i/>
        </w:rPr>
        <w:t xml:space="preserve">Étant donné</w:t>
      </w:r>
      <w:r>
        <w:rPr>
          <w:i/>
        </w:rPr>
        <w:t xml:space="preserve"> un client LOW (volumétrie déclarée 20 kCHF/mois)</w:t>
      </w:r>
    </w:p>
    <w:p>
      <w:pPr>
        <w:ind w:left="420"/>
        <w:spacing w:after="40"/>
      </w:pPr>
      <w:r>
        <w:rPr>
          <w:b/>
          <w:i/>
        </w:rPr>
        <w:t xml:space="preserve">Quand</w:t>
      </w:r>
      <w:r>
        <w:rPr>
          <w:i/>
        </w:rPr>
        <w:t xml:space="preserve"> 4 conversions crypto de 9 500 CHF passent en 48 h</w:t>
      </w:r>
    </w:p>
    <w:p>
      <w:pPr>
        <w:ind w:left="420"/>
        <w:spacing w:after="40"/>
      </w:pPr>
      <w:r>
        <w:rPr>
          <w:b/>
          <w:i/>
        </w:rPr>
        <w:t xml:space="preserve">Alors</w:t>
      </w:r>
      <w:r>
        <w:rPr>
          <w:i/>
        </w:rPr>
        <w:t xml:space="preserve"> SUSPEND (vélocité + écart de profil), signal AML émis, tâche de requalification —</w:t>
      </w:r>
    </w:p>
    <w:p>
      <w:pPr>
        <w:ind w:left="420"/>
        <w:spacing w:after="40"/>
      </w:pPr>
      <w:r>
        <w:rPr>
          <w:i/>
        </w:rPr>
        <w:t xml:space="preserve">le seuil vient du PROFIL, pas d'un chiffre fixe</w:t>
      </w:r>
    </w:p>
    <w:p>
      <w:pPr>
        <w:pStyle w:val="Heading2"/>
        <w:spacing w:after="140"/>
      </w:pPr>
      <w:r>
        <w:rPr/>
        <w:t xml:space="preserve">R143 — La suspension est une décision en attente — jamais un purgatoire</w:t>
      </w:r>
    </w:p>
    <w:p>
      <w:pPr>
        <w:spacing w:after="100"/>
      </w:pPr>
      <w:r>
        <w:rPr/>
        <w:t xml:space="preserve">Une transaction </w:t>
      </w:r>
      <w:r>
        <w:rPr>
          <w:rFonts w:ascii="Consolas" w:hAnsi="Consolas"/>
          <w:sz w:val="18"/>
        </w:rPr>
        <w:t xml:space="preserve">SUSPEND</w:t>
      </w:r>
      <w:r>
        <w:rPr/>
        <w:t xml:space="preserve"> entre en </w:t>
      </w:r>
      <w:r>
        <w:rPr>
          <w:b/>
        </w:rPr>
        <w:t xml:space="preserve">file de revue</w:t>
      </w:r>
      <w:r>
        <w:rPr/>
        <w:t xml:space="preserve"> (rôles habilités R-Q </w:t>
      </w:r>
      <w:r>
        <w:rPr>
          <w:rFonts w:ascii="Consolas" w:hAnsi="Consolas"/>
          <w:sz w:val="18"/>
        </w:rPr>
        <w:t xml:space="preserve">txRevueRoles</w:t>
      </w:r>
      <w:r>
        <w:rPr/>
        <w:t xml:space="preserve">,</w:t>
      </w:r>
    </w:p>
    <w:p>
      <w:pPr>
        <w:spacing w:after="100"/>
      </w:pPr>
      <w:r>
        <w:rPr/>
        <w:t xml:space="preserve">default-deny mécanique R112). La décision est humaine et motivée (R7) : </w:t>
      </w:r>
      <w:r>
        <w:rPr>
          <w:rFonts w:ascii="Consolas" w:hAnsi="Consolas"/>
          <w:sz w:val="18"/>
        </w:rPr>
        <w:t xml:space="preserve">LIBERER</w:t>
      </w:r>
      <w:r>
        <w:rPr/>
        <w:t xml:space="preserve"> | </w:t>
      </w:r>
      <w:r>
        <w:rPr>
          <w:rFonts w:ascii="Consolas" w:hAnsi="Consolas"/>
          <w:sz w:val="18"/>
        </w:rPr>
        <w:t xml:space="preserve">BLOQUER</w:t>
      </w:r>
    </w:p>
    <w:p>
      <w:pPr>
        <w:spacing w:after="100"/>
      </w:pPr>
      <w:r>
        <w:rPr/>
        <w:t xml:space="preserve">— tracée, rejouable. SLA de revue (</w:t>
      </w:r>
      <w:r>
        <w:rPr>
          <w:rFonts w:ascii="Consolas" w:hAnsi="Consolas"/>
          <w:sz w:val="18"/>
        </w:rPr>
        <w:t xml:space="preserve">txRevueSlaHeures</w:t>
      </w:r>
      <w:r>
        <w:rPr/>
        <w:t xml:space="preserve">) : </w:t>
      </w:r>
      <w:r>
        <w:rPr>
          <w:b/>
        </w:rPr>
        <w:t xml:space="preserve">alerte une fois</w:t>
      </w:r>
      <w:r>
        <w:rPr/>
        <w:t xml:space="preserve"> (R39), jamais de</w:t>
      </w:r>
    </w:p>
    <w:p>
      <w:pPr>
        <w:spacing w:after="100"/>
      </w:pPr>
      <w:r>
        <w:rPr/>
        <w:t xml:space="preserve">libération automatique. Le motif AML n'est </w:t>
      </w:r>
      <w:r>
        <w:rPr>
          <w:b/>
        </w:rPr>
        <w:t xml:space="preserve">jamais exposé côté client</w:t>
      </w:r>
      <w:r>
        <w:rPr/>
        <w:t xml:space="preserve"> (cohérence art. 10a,</w:t>
      </w:r>
    </w:p>
    <w:p>
      <w:pPr>
        <w:spacing w:after="100"/>
      </w:pPr>
      <w:r>
        <w:rPr/>
        <w:t xml:space="preserve">R132) — le client voit « en traitement », pas « soupçon ».</w:t>
      </w:r>
    </w:p>
    <w:p>
      <w:pPr>
        <w:ind w:left="420"/>
        <w:spacing w:after="40"/>
      </w:pPr>
      <w:r>
        <w:rPr>
          <w:b/>
          <w:i/>
        </w:rPr>
        <w:t xml:space="preserve">Scénario TX-05 — La file se décide, motivée, sans fuite</w:t>
      </w:r>
    </w:p>
    <w:p>
      <w:pPr>
        <w:ind w:left="420"/>
        <w:spacing w:after="40"/>
      </w:pPr>
      <w:r>
        <w:rPr>
          <w:b/>
          <w:i/>
        </w:rPr>
        <w:t xml:space="preserve">Quand</w:t>
      </w:r>
      <w:r>
        <w:rPr>
          <w:i/>
        </w:rPr>
        <w:t xml:space="preserve"> un rôle non habilité tente la file </w:t>
      </w:r>
      <w:r>
        <w:rPr>
          <w:b/>
          <w:i/>
        </w:rPr>
        <w:t xml:space="preserve">Alors</w:t>
      </w:r>
      <w:r>
        <w:rPr>
          <w:i/>
        </w:rPr>
        <w:t xml:space="preserve"> refus tracé</w:t>
      </w:r>
    </w:p>
    <w:p>
      <w:pPr>
        <w:ind w:left="420"/>
        <w:spacing w:after="40"/>
      </w:pPr>
      <w:r>
        <w:rPr>
          <w:b/>
          <w:i/>
        </w:rPr>
        <w:t xml:space="preserve">Quand</w:t>
      </w:r>
      <w:r>
        <w:rPr>
          <w:i/>
        </w:rPr>
        <w:t xml:space="preserve"> le réviseur LIBÈRE motivé </w:t>
      </w:r>
      <w:r>
        <w:rPr>
          <w:b/>
          <w:i/>
        </w:rPr>
        <w:t xml:space="preserve">Alors</w:t>
      </w:r>
      <w:r>
        <w:rPr>
          <w:i/>
        </w:rPr>
        <w:t xml:space="preserve"> exécution possible, décision tracée</w:t>
      </w:r>
    </w:p>
    <w:p>
      <w:pPr>
        <w:ind w:left="420"/>
        <w:spacing w:after="40"/>
      </w:pPr>
      <w:r>
        <w:rPr>
          <w:b/>
          <w:i/>
        </w:rPr>
        <w:t xml:space="preserve">Et</w:t>
      </w:r>
      <w:r>
        <w:rPr>
          <w:i/>
        </w:rPr>
        <w:t xml:space="preserve"> la vue client ne porte AUCUN motif AML</w:t>
      </w:r>
    </w:p>
    <w:p>
      <w:pPr>
        <w:ind w:left="420"/>
        <w:spacing w:after="40"/>
      </w:pPr>
      <w:r>
        <w:rPr>
          <w:b/>
          <w:i/>
        </w:rPr>
        <w:t xml:space="preserve">Scénario TX-06 — Le SLA de revue alerte, ne libère pas</w:t>
      </w:r>
    </w:p>
    <w:p>
      <w:pPr>
        <w:ind w:left="420"/>
        <w:spacing w:after="40"/>
      </w:pPr>
      <w:r>
        <w:rPr>
          <w:b/>
          <w:i/>
        </w:rPr>
        <w:t xml:space="preserve">Étant donné</w:t>
      </w:r>
      <w:r>
        <w:rPr>
          <w:i/>
        </w:rPr>
        <w:t xml:space="preserve"> une suspension vieille de 30 h (SLA 24)</w:t>
      </w:r>
    </w:p>
    <w:p>
      <w:pPr>
        <w:ind w:left="420"/>
        <w:spacing w:after="40"/>
      </w:pPr>
      <w:r>
        <w:rPr>
          <w:b/>
          <w:i/>
        </w:rPr>
        <w:t xml:space="preserve">Quand</w:t>
      </w:r>
      <w:r>
        <w:rPr>
          <w:i/>
        </w:rPr>
        <w:t xml:space="preserve"> le tick passe </w:t>
      </w:r>
      <w:r>
        <w:rPr>
          <w:b/>
          <w:i/>
        </w:rPr>
        <w:t xml:space="preserve">Alors</w:t>
      </w:r>
      <w:r>
        <w:rPr>
          <w:i/>
        </w:rPr>
        <w:t xml:space="preserve"> alerte UNE fois — la transaction RESTE suspendue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TxVerdict</w:t>
            </w:r>
            <w:r>
              <w:rPr/>
              <w:t xml:space="preserve"> (append-only : tenantId, clientId, txRef, payload Json, verdict, gardes Json [{code, severite, resultat, detail}], decidePar/At pour la revue, revueMotif, slaSignale)</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TransactionGateService(prisma, audit, gardes[])</w:t>
            </w:r>
            <w:r>
              <w:rPr/>
              <w:t xml:space="preserve"> : </w:t>
            </w:r>
            <w:r>
              <w:rPr>
                <w:rFonts w:ascii="Consolas" w:hAnsi="Consolas"/>
                <w:sz w:val="18"/>
              </w:rPr>
              <w:t xml:space="preserve">evaluer</w:t>
            </w:r>
            <w:r>
              <w:rPr/>
              <w:t xml:space="preserve"> (R140/R141 — exécute le registre, pire verdict, fail-secure), gardes livrées : </w:t>
            </w:r>
            <w:r>
              <w:rPr>
                <w:rFonts w:ascii="Consolas" w:hAnsi="Consolas"/>
                <w:sz w:val="18"/>
              </w:rPr>
              <w:t xml:space="preserve">gel-mros</w:t>
            </w:r>
            <w:r>
              <w:rPr/>
              <w:t xml:space="preserve"> (</w:t>
            </w:r>
            <w:r>
              <w:rPr>
                <w:b/>
              </w:rPr>
              <w:t xml:space="preserve">appelle `MrosService.verifierTransaction` — la boucle R131 se ferme</w:t>
            </w:r>
            <w:r>
              <w:rPr/>
              <w:t xml:space="preserve">), </w:t>
            </w:r>
            <w:r>
              <w:rPr>
                <w:rFonts w:ascii="Consolas" w:hAnsi="Consolas"/>
                <w:sz w:val="18"/>
              </w:rPr>
              <w:t xml:space="preserve">comportement</w:t>
            </w:r>
            <w:r>
              <w:rPr/>
              <w:t xml:space="preserve"> (R142), </w:t>
            </w:r>
            <w:r>
              <w:rPr>
                <w:rFonts w:ascii="Consolas" w:hAnsi="Consolas"/>
                <w:sz w:val="18"/>
              </w:rPr>
              <w:t xml:space="preserve">listerRevue</w:t>
            </w:r>
            <w:r>
              <w:rPr/>
              <w:t xml:space="preserve">/</w:t>
            </w:r>
            <w:r>
              <w:rPr>
                <w:rFonts w:ascii="Consolas" w:hAnsi="Consolas"/>
                <w:sz w:val="18"/>
              </w:rPr>
              <w:t xml:space="preserve">decider</w:t>
            </w:r>
            <w:r>
              <w:rPr/>
              <w:t xml:space="preserve"> (R143), </w:t>
            </w:r>
            <w:r>
              <w:rPr>
                <w:rFonts w:ascii="Consolas" w:hAnsi="Consolas"/>
                <w:sz w:val="18"/>
              </w:rPr>
              <w:t xml:space="preserve">tickRevue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txGardes</w:t>
            </w:r>
            <w:r>
              <w:rPr/>
              <w:t xml:space="preserve"> (json : sévérité par code) · </w:t>
            </w:r>
            <w:r>
              <w:rPr>
                <w:rFonts w:ascii="Consolas" w:hAnsi="Consolas"/>
                <w:sz w:val="18"/>
              </w:rPr>
              <w:t xml:space="preserve">txRevueRoles</w:t>
            </w: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(json : fenêtres/multiplicateurs PAR profil)</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tx.verdict</w:t>
            </w:r>
            <w:r>
              <w:rPr/>
              <w:t xml:space="preserve"> · </w:t>
            </w:r>
            <w:r>
              <w:rPr>
                <w:rFonts w:ascii="Consolas" w:hAnsi="Consolas"/>
                <w:sz w:val="18"/>
              </w:rPr>
              <w:t xml:space="preserve">tx.suspend</w:t>
            </w:r>
            <w:r>
              <w:rPr/>
              <w:t xml:space="preserve"> · </w:t>
            </w:r>
            <w:r>
              <w:rPr>
                <w:rFonts w:ascii="Consolas" w:hAnsi="Consolas"/>
                <w:sz w:val="18"/>
              </w:rPr>
              <w:t xml:space="preserve">tx.revue.decision</w:t>
            </w:r>
            <w:r>
              <w:rPr/>
              <w:t xml:space="preserve"> · </w:t>
            </w:r>
            <w:r>
              <w:rPr>
                <w:rFonts w:ascii="Consolas" w:hAnsi="Consolas"/>
                <w:sz w:val="18"/>
              </w:rPr>
              <w:t xml:space="preserve">tx.revue.acces.refuse</w:t>
            </w:r>
            <w:r>
              <w:rPr/>
              <w:t xml:space="preserve"> · </w:t>
            </w:r>
            <w:r>
              <w:rPr>
                <w:rFonts w:ascii="Consolas" w:hAnsi="Consolas"/>
                <w:sz w:val="18"/>
              </w:rPr>
              <w:t xml:space="preserve">tx.revue.sla</w:t>
            </w:r>
            <w:r>
              <w:rPr/>
              <w:t xml:space="preserve"> · </w:t>
            </w:r>
            <w:r>
              <w:rPr>
                <w:rFonts w:ascii="Consolas" w:hAnsi="Consolas"/>
                <w:sz w:val="18"/>
              </w:rPr>
              <w:t xml:space="preserve">signal.aml.comportement</w:t>
            </w:r>
            <w:r>
              <w:rPr/>
              <w:t xml:space="preserve"> · </w:t>
            </w:r>
            <w:r>
              <w:rPr>
                <w:rFonts w:ascii="Consolas" w:hAnsi="Consolas"/>
                <w:sz w:val="18"/>
              </w:rPr>
              <w:t xml:space="preserve">tache.kyc.requalification</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tx_verdicts</w:t>
            </w:r>
            <w:r>
              <w:rPr/>
              <w:t xml:space="preserve"> : RLS </w:t>
            </w:r>
            <w:r>
              <w:rPr>
                <w:b/>
              </w:rPr>
              <w:t xml:space="preserve">et</w:t>
            </w:r>
            <w:r>
              <w:rPr/>
              <w:t xml:space="preserve"> append-only (le verdict ne se réécrit pas — la revue est une ligne de décision, pas une édition)</w:t>
            </w:r>
          </w:p>
        </w:tc>
      </w:tr>
    </w:tbl>
    <w:p>
      <w:pPr>
        <w:spacing w:after="120"/>
      </w:pPr>
    </w:p>
    <w:p>
      <w:pPr>
        <w:spacing w:after="100"/>
      </w:pPr>
      <w:r>
        <w:rPr/>
        <w:t xml:space="preserve">Tests : TX-01..06 (</w:t>
      </w:r>
      <w:r>
        <w:rPr>
          <w:rFonts w:ascii="Consolas" w:hAnsi="Consolas"/>
          <w:sz w:val="18"/>
        </w:rPr>
        <w:t xml:space="preserve">transaction-gate.wiring.spec.ts</w:t>
      </w:r>
      <w:r>
        <w:rPr/>
        <w:t xml:space="preserve">), écrits </w:t>
      </w:r>
      <w:r>
        <w:rPr>
          <w:b/>
        </w:rPr>
        <w:t xml:space="preserve">avant</w:t>
      </w:r>
      <w:r>
        <w:rPr/>
        <w:t xml:space="preserve"> l'implémentation, avec</w:t>
      </w:r>
    </w:p>
    <w:p>
      <w:pPr>
        <w:spacing w:after="100"/>
      </w:pPr>
      <w:r>
        <w:rPr/>
        <w:t xml:space="preserve">le VRAI </w:t>
      </w:r>
      <w:r>
        <w:rPr>
          <w:rFonts w:ascii="Consolas" w:hAnsi="Consolas"/>
          <w:sz w:val="18"/>
        </w:rPr>
        <w:t xml:space="preserve">MrosService</w:t>
      </w:r>
      <w:r>
        <w:rPr/>
        <w:t xml:space="preserve"> branché comme garde (la chaîne signal → cas → escalade → décision → gel</w:t>
      </w:r>
    </w:p>
    <w:p>
      <w:pPr>
        <w:spacing w:after="100"/>
      </w:pPr>
      <w:r>
        <w:rPr/>
        <w:t xml:space="preserve">→ </w:t>
      </w:r>
      <w:r>
        <w:rPr>
          <w:b/>
        </w:rPr>
        <w:t xml:space="preserve">blocage au portail</w:t>
      </w:r>
      <w:r>
        <w:rPr/>
        <w:t xml:space="preserve"> prouvée de bout en bout).</w:t>
      </w:r>
    </w:p>
    <w:p>
      <w:pPr>
        <w:spacing w:after="140"/>
      </w:pPr>
      <w:r>
        <w:rPr/>
        <w:t xml:space="preserve">RATIFIÉ le 20.07.2026 par Ali Gharsallah</w:t>
      </w:r>
    </w:p>
    <w:p>
      <w:pPr>
        <w:pStyle w:val="Heading1"/>
        <w:spacing w:after="200"/>
      </w:pPr>
      <w:r>
        <w:rPr/>
        <w:t xml:space="preserve">Note de version v4.8 → v4.9 — ratification du Bloc 25</w:t>
      </w:r>
    </w:p>
    <w:p>
      <w:pPr>
        <w:spacing w:after="100"/>
      </w:pPr>
      <w:r>
        <w:rPr>
          <w:b/>
        </w:rPr>
        <w:t xml:space="preserve">Décision : Ali Gharsallah ratifie, le 20.07.2026, les règles R140 → R143</w:t>
      </w:r>
      <w:r>
        <w:rPr/>
        <w:t xml:space="preserve"> (Bloc 25 ·</w:t>
      </w:r>
    </w:p>
    <w:p>
      <w:pPr>
        <w:spacing w:after="100"/>
      </w:pPr>
      <w:r>
        <w:rPr/>
        <w:t xml:space="preserve">Portail transactionnel — prévenir, pas constater). Page de garde Word : v4.9.</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25 · Portail transactionnel</w:t>
            </w:r>
          </w:p>
        </w:tc>
        <w:tc>
          <w:tcPr>
            <w:tcW w:w="2325" w:type="dxa"/>
          </w:tcPr>
          <w:p>
            <w:pPr>
              <w:spacing w:after="40"/>
            </w:pPr>
            <w:r>
              <w:rPr>
                <w:b/>
              </w:rPr>
              <w:t xml:space="preserve">R140 R141 R142 R143</w:t>
            </w:r>
          </w:p>
        </w:tc>
        <w:tc>
          <w:tcPr>
            <w:tcW w:w="2325" w:type="dxa"/>
          </w:tcPr>
          <w:p>
            <w:pPr>
              <w:spacing w:after="40"/>
            </w:pPr>
            <w:r>
              <w:rPr/>
              <w:t xml:space="preserve">TX-01..06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211 (v4.8) + TX 6 = </w:t>
      </w:r>
      <w:r>
        <w:rPr>
          <w:b/>
        </w:rPr>
        <w:t xml:space="preserve">217 IDs</w:t>
      </w:r>
      <w:r>
        <w:rPr/>
        <w:t xml:space="preserve">.</w:t>
      </w:r>
    </w:p>
    <w:p>
      <w:pPr>
        <w:ind w:left="420"/>
        <w:spacing w:after="40"/>
      </w:pPr>
      <w:r>
        <w:rPr/>
        <w:t xml:space="preserve">·  </w:t>
      </w:r>
      <w:r>
        <w:rPr>
          <w:b/>
        </w:rPr>
        <w:t xml:space="preserve">Corpus backend</w:t>
      </w:r>
      <w:r>
        <w:rPr/>
        <w:t xml:space="preserve"> : 231 + 7 = </w:t>
      </w:r>
      <w:r>
        <w:rPr>
          <w:b/>
        </w:rPr>
        <w:t xml:space="preserve">238</w:t>
      </w:r>
      <w:r>
        <w:rPr/>
        <w:t xml:space="preserve"> — vérifié sur l'arbre réel le jour même.</w:t>
      </w:r>
    </w:p>
    <w:p>
      <w:pPr>
        <w:ind w:left="420"/>
        <w:spacing w:after="40"/>
      </w:pPr>
      <w:r>
        <w:rPr/>
        <w:t xml:space="preserve">·  </w:t>
      </w:r>
      <w:r>
        <w:rPr>
          <w:b/>
        </w:rPr>
        <w:t xml:space="preserve">Origine réglementaire, vérifiée à la source</w:t>
      </w:r>
      <w:r>
        <w:rPr/>
        <w:t xml:space="preserve"> : FATF 7e Targeted Update on Virtual Assets</w:t>
      </w:r>
    </w:p>
    <w:p>
      <w:pPr>
        <w:spacing w:after="100"/>
      </w:pPr>
      <w:r>
        <w:rPr/>
        <w:t xml:space="preserve">  (juillet 2026 — blocage et gel AVANT le mouvement, comportement vs classification) ; FINMA</w:t>
      </w:r>
    </w:p>
    <w:p>
      <w:pPr>
        <w:spacing w:after="100"/>
      </w:pPr>
      <w:r>
        <w:rPr/>
        <w:t xml:space="preserve">  Guidance 02/2026 du 09.04.2026 (le KYC doit nourrir la surveillance transactionnelle ;</w:t>
      </w:r>
    </w:p>
    <w:p>
      <w:pPr>
        <w:spacing w:after="100"/>
      </w:pPr>
      <w:r>
        <w:rPr/>
        <w:t xml:space="preserve">  seuils fixes 100-200 kCHF = money mules → seuils PAR PROFIL).</w:t>
      </w:r>
    </w:p>
    <w:p>
      <w:pPr>
        <w:ind w:left="420"/>
        <w:spacing w:after="40"/>
      </w:pPr>
      <w:r>
        <w:rPr/>
        <w:t xml:space="preserve">·  </w:t>
      </w:r>
      <w:r>
        <w:rPr>
          <w:b/>
        </w:rPr>
        <w:t xml:space="preserve">La boucle R131 est fermée</w:t>
      </w:r>
      <w:r>
        <w:rPr/>
        <w:t xml:space="preserve"> : la garde </w:t>
      </w:r>
      <w:r>
        <w:rPr>
          <w:rFonts w:ascii="Consolas" w:hAnsi="Consolas"/>
          <w:sz w:val="18"/>
        </w:rPr>
        <w:t xml:space="preserve">gel-mros</w:t>
      </w:r>
      <w:r>
        <w:rPr/>
        <w:t xml:space="preserve"> branche le vrai </w:t>
      </w:r>
      <w:r>
        <w:rPr>
          <w:rFonts w:ascii="Consolas" w:hAnsi="Consolas"/>
          <w:sz w:val="18"/>
        </w:rPr>
        <w:t xml:space="preserve">MrosService</w:t>
      </w:r>
      <w:r>
        <w:rPr/>
        <w:t xml:space="preserve"> — le gel</w:t>
      </w:r>
    </w:p>
    <w:p>
      <w:pPr>
        <w:spacing w:after="100"/>
      </w:pPr>
      <w:r>
        <w:rPr/>
        <w:t xml:space="preserve">  art. 10 a son appelant. La chaîne signal → cas → escalade → décision → gel → **blocage au</w:t>
      </w:r>
    </w:p>
    <w:p>
      <w:pPr>
        <w:spacing w:after="100"/>
      </w:pPr>
      <w:r>
        <w:rPr/>
        <w:t xml:space="preserve">  portail** est prouvée de bout en bout (TX-01, rejouable en démo).</w:t>
      </w:r>
    </w:p>
    <w:p>
      <w:pPr>
        <w:ind w:left="420"/>
        <w:spacing w:after="40"/>
      </w:pPr>
      <w:r>
        <w:rPr/>
        <w:t xml:space="preserve">·  </w:t>
      </w:r>
      <w:r>
        <w:rPr>
          <w:b/>
        </w:rPr>
        <w:t xml:space="preserve">Fail-secure</w:t>
      </w:r>
      <w:r>
        <w:rPr/>
        <w:t xml:space="preserve"> : une garde en erreur SUSPEND — le portail n'échoue jamais vers le passage.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txGardes</w:t>
      </w:r>
      <w:r>
        <w:rPr/>
        <w:t xml:space="preserve"> · </w:t>
      </w:r>
      <w:r>
        <w:rPr>
          <w:rFonts w:ascii="Consolas" w:hAnsi="Consolas"/>
          <w:sz w:val="18"/>
        </w:rPr>
        <w:t xml:space="preserve">txRevueRoles</w:t>
      </w:r>
    </w:p>
    <w:p>
      <w:pPr>
        <w:spacing w:after="100"/>
      </w:pP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(fenêtres/multiplicateurs par</w:t>
      </w:r>
    </w:p>
    <w:p>
      <w:pPr>
        <w:spacing w:after="100"/>
      </w:pPr>
      <w:r>
        <w:rPr/>
        <w:t xml:space="preserve">  profil).</w:t>
      </w:r>
    </w:p>
    <w:p>
      <w:pPr>
        <w:ind w:left="420"/>
        <w:spacing w:after="40"/>
      </w:pPr>
      <w:r>
        <w:rPr/>
        <w:t xml:space="preserve">·  Catalogue : </w:t>
      </w:r>
      <w:r>
        <w:rPr>
          <w:b/>
        </w:rPr>
        <w:t xml:space="preserve">R1 → R143, aucune règle proposée.</w:t>
      </w:r>
    </w:p>
    <w:p>
      <w:pPr>
        <w:pStyle w:val="Heading1"/>
        <w:spacing w:after="200"/>
      </w:pPr>
      <w:r>
        <w:rPr/>
        <w:t xml:space="preserve">Bloc 26 — Le coffre R144 → R147 (RATIFIÉ 20.07.2026)</w:t>
      </w:r>
    </w:p>
    <w:p>
      <w:pPr>
        <w:spacing w:after="100"/>
      </w:pPr>
      <w:r>
        <w:rPr>
          <w:b/>
        </w:rPr>
        <w:t xml:space="preserve">Statut : RATIFIÉ le 20.07.2026 par Ali Gharsallah.</w:t>
      </w:r>
    </w:p>
    <w:p>
      <w:pPr>
        <w:spacing w:after="100"/>
      </w:pPr>
      <w:r>
        <w:rPr/>
        <w:t xml:space="preserve">Numérotation continue après R143. Famille de scénarios : </w:t>
      </w:r>
      <w:r>
        <w:rPr>
          <w:b/>
        </w:rPr>
        <w:t xml:space="preserve">CV</w:t>
      </w:r>
      <w:r>
        <w:rPr/>
        <w:t xml:space="preserve"> (vérifiée libre — Word + spec ;</w:t>
      </w:r>
    </w:p>
    <w:p>
      <w:pPr>
        <w:spacing w:after="100"/>
      </w:pPr>
      <w:r>
        <w:rPr/>
        <w:t xml:space="preserve">ST écartée : prise par les stress tests du catalogue R1-R56).</w:t>
      </w:r>
    </w:p>
    <w:p>
      <w:pPr>
        <w:spacing w:after="100"/>
      </w:pPr>
      <w:r>
        <w:rPr>
          <w:b/>
        </w:rPr>
        <w:t xml:space="preserve">Le catalogue précède le code.</w:t>
      </w:r>
    </w:p>
    <w:p>
      <w:pPr>
        <w:pStyle w:val="Heading2"/>
        <w:spacing w:after="140"/>
      </w:pPr>
      <w:r>
        <w:rPr/>
        <w:t xml:space="preserve">Le problème — la dernière promesse sans acte</w:t>
      </w:r>
    </w:p>
    <w:p>
      <w:pPr>
        <w:spacing w:after="100"/>
      </w:pPr>
      <w:r>
        <w:rPr/>
        <w:t xml:space="preserve">Toute la GED (R109→R139) manipule des empreintes de contenus… qui ne sont stockés nulle part :</w:t>
      </w:r>
    </w:p>
    <w:p>
      <w:pPr>
        <w:spacing w:after="100"/>
      </w:pPr>
      <w:r>
        <w:rPr/>
        <w:t xml:space="preserve">le port stockage est déclaré, jamais implémenté. C'est le dernier endroit où O-Live affirme</w:t>
      </w:r>
    </w:p>
    <w:p>
      <w:pPr>
        <w:spacing w:after="100"/>
      </w:pPr>
      <w:r>
        <w:rPr/>
        <w:t xml:space="preserve">quelque chose qu'il ne fait pas. Quatre règles gouvernent </w:t>
      </w:r>
      <w:r>
        <w:rPr>
          <w:b/>
        </w:rPr>
        <w:t xml:space="preserve">le coffre</w:t>
      </w:r>
      <w:r>
        <w:rPr/>
        <w:t xml:space="preserve"> — et l'adaptateur</w:t>
      </w:r>
    </w:p>
    <w:p>
      <w:pPr>
        <w:spacing w:after="100"/>
      </w:pPr>
      <w:r>
        <w:rPr/>
        <w:t xml:space="preserve">Exoscale SOS (résidence suisse) est livré avec, prêt au câblage.</w:t>
      </w:r>
    </w:p>
    <w:p>
      <w:pPr>
        <w:pStyle w:val="Heading2"/>
        <w:spacing w:after="140"/>
      </w:pPr>
      <w:r>
        <w:rPr/>
        <w:t xml:space="preserve">R144 — Le contenu vit au coffre ; le système n'en garde que l'empreinte et la clé</w:t>
      </w:r>
    </w:p>
    <w:p>
      <w:pPr>
        <w:spacing w:after="100"/>
      </w:pPr>
      <w:r>
        <w:rPr/>
        <w:t xml:space="preserve">Tout dépôt écrit le contenu </w:t>
      </w:r>
      <w:r>
        <w:rPr>
          <w:b/>
        </w:rPr>
        <w:t xml:space="preserve">via le port stockage</w:t>
      </w:r>
      <w:r>
        <w:rPr/>
        <w:t xml:space="preserve"> sous une clé </w:t>
      </w:r>
      <w:r>
        <w:rPr>
          <w:b/>
        </w:rPr>
        <w:t xml:space="preserve">déterministe</w:t>
      </w:r>
    </w:p>
    <w:p>
      <w:pPr>
        <w:spacing w:after="100"/>
      </w:pPr>
      <w:r>
        <w:rPr/>
        <w:t xml:space="preserve">(</w:t>
      </w:r>
      <w:r>
        <w:rPr>
          <w:rFonts w:ascii="Consolas" w:hAnsi="Consolas"/>
          <w:sz w:val="18"/>
        </w:rPr>
        <w:t xml:space="preserve">{tenantId}/{documentId}/v{numero}</w:t>
      </w:r>
      <w:r>
        <w:rPr/>
        <w:t xml:space="preserve">) ; la base ne stocke </w:t>
      </w:r>
      <w:r>
        <w:rPr>
          <w:b/>
        </w:rPr>
        <w:t xml:space="preserve">jamais</w:t>
      </w:r>
      <w:r>
        <w:rPr/>
        <w:t xml:space="preserve"> le contenu — seulement</w:t>
      </w:r>
    </w:p>
    <w:p>
      <w:pPr>
        <w:spacing w:after="100"/>
      </w:pPr>
      <w:r>
        <w:rPr/>
        <w:t xml:space="preserve">l'empreinte SHA-256 (R109) et la clé de coffre. Pas de port configuré → </w:t>
      </w:r>
      <w:r>
        <w:rPr>
          <w:b/>
        </w:rPr>
        <w:t xml:space="preserve">refus explicite</w:t>
      </w:r>
    </w:p>
    <w:p>
      <w:pPr>
        <w:spacing w:after="100"/>
      </w:pPr>
      <w:r>
        <w:rPr/>
        <w:t xml:space="preserve">(pattern R114 : jamais de simulacre — un dépôt « réussi » sans coffre serait un mensonge). La</w:t>
      </w:r>
    </w:p>
    <w:p>
      <w:pPr>
        <w:spacing w:after="100"/>
      </w:pPr>
      <w:r>
        <w:rPr/>
        <w:t xml:space="preserve">région de résidence est un paramètre contractuel du registre (</w:t>
      </w:r>
      <w:r>
        <w:rPr>
          <w:rFonts w:ascii="Consolas" w:hAnsi="Consolas"/>
          <w:sz w:val="18"/>
        </w:rPr>
        <w:t xml:space="preserve">storageRegion</w:t>
      </w:r>
      <w:r>
        <w:rPr/>
        <w:t xml:space="preserve">, défaut</w:t>
      </w:r>
    </w:p>
    <w:p>
      <w:pPr>
        <w:spacing w:after="100"/>
      </w:pPr>
      <w:r>
        <w:rPr>
          <w:rFonts w:ascii="Consolas" w:hAnsi="Consolas"/>
          <w:sz w:val="18"/>
        </w:rPr>
        <w:t xml:space="preserve">ch-gva-2</w:t>
      </w:r>
      <w:r>
        <w:rPr/>
        <w:t xml:space="preserve"> — Genève).</w:t>
      </w:r>
    </w:p>
    <w:p>
      <w:pPr>
        <w:ind w:left="420"/>
        <w:spacing w:after="40"/>
      </w:pPr>
      <w:r>
        <w:rPr>
          <w:b/>
          <w:i/>
        </w:rPr>
        <w:t xml:space="preserve">Scénario CV-01 — Le coffre reçoit, la base ne garde que la preuve</w:t>
      </w:r>
    </w:p>
    <w:p>
      <w:pPr>
        <w:ind w:left="420"/>
        <w:spacing w:after="40"/>
      </w:pPr>
      <w:r>
        <w:rPr>
          <w:b/>
          <w:i/>
        </w:rPr>
        <w:t xml:space="preserve">Quand</w:t>
      </w:r>
      <w:r>
        <w:rPr>
          <w:i/>
        </w:rPr>
        <w:t xml:space="preserve"> un contenu est déposé </w:t>
      </w:r>
      <w:r>
        <w:rPr>
          <w:b/>
          <w:i/>
        </w:rPr>
        <w:t xml:space="preserve">Alors</w:t>
      </w:r>
      <w:r>
        <w:rPr>
          <w:i/>
        </w:rPr>
        <w:t xml:space="preserve"> le port reçoit clé déterministe + contenu + région,</w:t>
      </w:r>
    </w:p>
    <w:p>
      <w:pPr>
        <w:ind w:left="420"/>
        <w:spacing w:after="40"/>
      </w:pPr>
      <w:r>
        <w:rPr>
          <w:i/>
        </w:rPr>
        <w:t xml:space="preserve">la base porte empreinte + clé de coffre et </w:t>
      </w:r>
      <w:r>
        <w:rPr>
          <w:b/>
          <w:i/>
        </w:rPr>
        <w:t xml:space="preserve">AUCUN contenu</w:t>
      </w:r>
    </w:p>
    <w:p>
      <w:pPr>
        <w:ind w:left="420"/>
        <w:spacing w:after="40"/>
      </w:pPr>
      <w:r>
        <w:rPr>
          <w:b/>
          <w:i/>
        </w:rPr>
        <w:t xml:space="preserve">Quand</w:t>
      </w:r>
      <w:r>
        <w:rPr>
          <w:i/>
        </w:rPr>
        <w:t xml:space="preserve"> aucun port n'est configuré </w:t>
      </w:r>
      <w:r>
        <w:rPr>
          <w:b/>
          <w:i/>
        </w:rPr>
        <w:t xml:space="preserve">Alors</w:t>
      </w:r>
      <w:r>
        <w:rPr>
          <w:i/>
        </w:rPr>
        <w:t xml:space="preserve"> refus explicite — pas de dépôt fantôme</w:t>
      </w:r>
    </w:p>
    <w:p>
      <w:pPr>
        <w:ind w:left="420"/>
        <w:spacing w:after="40"/>
      </w:pPr>
      <w:r>
        <w:rPr>
          <w:b/>
          <w:i/>
        </w:rPr>
        <w:t xml:space="preserve">Scénario CV-02 — La résidence est un paramètre du registre</w:t>
      </w:r>
    </w:p>
    <w:p>
      <w:pPr>
        <w:ind w:left="420"/>
        <w:spacing w:after="40"/>
      </w:pPr>
      <w:r>
        <w:rPr>
          <w:b/>
          <w:i/>
        </w:rPr>
        <w:t xml:space="preserve">Étant donné</w:t>
      </w:r>
      <w:r>
        <w:rPr>
          <w:i/>
        </w:rPr>
        <w:t xml:space="preserve"> un tenant dont le registre fixe </w:t>
      </w:r>
      <w:r>
        <w:rPr>
          <w:i/>
          <w:rFonts w:ascii="Consolas" w:hAnsi="Consolas"/>
          <w:sz w:val="18"/>
        </w:rPr>
        <w:t xml:space="preserve">storageRegion</w:t>
      </w:r>
      <w:r>
        <w:rPr>
          <w:i/>
        </w:rPr>
        <w:t xml:space="preserve"> = ch-dk-2</w:t>
      </w:r>
    </w:p>
    <w:p>
      <w:pPr>
        <w:ind w:left="420"/>
        <w:spacing w:after="40"/>
      </w:pPr>
      <w:r>
        <w:rPr>
          <w:b/>
          <w:i/>
        </w:rPr>
        <w:t xml:space="preserve">Quand</w:t>
      </w:r>
      <w:r>
        <w:rPr>
          <w:i/>
        </w:rPr>
        <w:t xml:space="preserve"> un contenu est déposé </w:t>
      </w:r>
      <w:r>
        <w:rPr>
          <w:b/>
          <w:i/>
        </w:rPr>
        <w:t xml:space="preserve">Alors</w:t>
      </w:r>
      <w:r>
        <w:rPr>
          <w:i/>
        </w:rPr>
        <w:t xml:space="preserve"> le port reçoit cette région (R-Q fait foi, R125)</w:t>
      </w:r>
    </w:p>
    <w:p>
      <w:pPr>
        <w:pStyle w:val="Heading2"/>
        <w:spacing w:after="140"/>
      </w:pPr>
      <w:r>
        <w:rPr/>
        <w:t xml:space="preserve">R145 — La restitution re-vérifie TOUJOURS — un coffre altéré ne sert rien</w:t>
      </w:r>
    </w:p>
    <w:p>
      <w:pPr>
        <w:spacing w:after="100"/>
      </w:pPr>
      <w:r>
        <w:rPr/>
        <w:t xml:space="preserve">Toute lecture recalcule l'empreinte du contenu lu </w:t>
      </w:r>
      <w:r>
        <w:rPr>
          <w:b/>
        </w:rPr>
        <w:t xml:space="preserve">avant de servir</w:t>
      </w:r>
      <w:r>
        <w:rPr/>
        <w:t xml:space="preserve"> (R111 étendu au stockage</w:t>
      </w:r>
    </w:p>
    <w:p>
      <w:pPr>
        <w:spacing w:after="100"/>
      </w:pPr>
      <w:r>
        <w:rPr/>
        <w:t xml:space="preserve">réel). Discordance → le contenu n'est </w:t>
      </w:r>
      <w:r>
        <w:rPr>
          <w:b/>
        </w:rPr>
        <w:t xml:space="preserve">pas servi</w:t>
      </w:r>
      <w:r>
        <w:rPr/>
        <w:t xml:space="preserve">, refus explicite, </w:t>
      </w:r>
      <w:r>
        <w:rPr>
          <w:b/>
        </w:rPr>
        <w:t xml:space="preserve">alerte d'intégrité</w:t>
      </w:r>
    </w:p>
    <w:p>
      <w:pPr>
        <w:spacing w:after="100"/>
      </w:pPr>
      <w:r>
        <w:rPr/>
        <w:t xml:space="preserve">tracée. La confiance dans le coffre n'existe pas : elle se recalcule à chaque lecture.</w:t>
      </w:r>
    </w:p>
    <w:p>
      <w:pPr>
        <w:ind w:left="420"/>
        <w:spacing w:after="40"/>
      </w:pPr>
      <w:r>
        <w:rPr>
          <w:b/>
          <w:i/>
        </w:rPr>
        <w:t xml:space="preserve">Scénario CV-03 — L'altération au coffre est un refus, pas un incident silencieux</w:t>
      </w:r>
    </w:p>
    <w:p>
      <w:pPr>
        <w:ind w:left="420"/>
        <w:spacing w:after="40"/>
      </w:pPr>
      <w:r>
        <w:rPr>
          <w:b/>
          <w:i/>
        </w:rPr>
        <w:t xml:space="preserve">Quand</w:t>
      </w:r>
      <w:r>
        <w:rPr>
          <w:i/>
        </w:rPr>
        <w:t xml:space="preserve"> le contenu lu correspond à l'empreinte </w:t>
      </w:r>
      <w:r>
        <w:rPr>
          <w:b/>
          <w:i/>
        </w:rPr>
        <w:t xml:space="preserve">Alors</w:t>
      </w:r>
      <w:r>
        <w:rPr>
          <w:i/>
        </w:rPr>
        <w:t xml:space="preserve"> servi</w:t>
      </w:r>
    </w:p>
    <w:p>
      <w:pPr>
        <w:ind w:left="420"/>
        <w:spacing w:after="40"/>
      </w:pPr>
      <w:r>
        <w:rPr>
          <w:b/>
          <w:i/>
        </w:rPr>
        <w:t xml:space="preserve">Quand</w:t>
      </w:r>
      <w:r>
        <w:rPr>
          <w:i/>
        </w:rPr>
        <w:t xml:space="preserve"> le coffre rend un contenu altéré </w:t>
      </w:r>
      <w:r>
        <w:rPr>
          <w:b/>
          <w:i/>
        </w:rPr>
        <w:t xml:space="preserve">Alors</w:t>
      </w:r>
      <w:r>
        <w:rPr>
          <w:i/>
        </w:rPr>
        <w:t xml:space="preserve"> REFUS, contenu non servi, alerte tracée</w:t>
      </w:r>
    </w:p>
    <w:p>
      <w:pPr>
        <w:pStyle w:val="Heading2"/>
        <w:spacing w:after="140"/>
      </w:pPr>
      <w:r>
        <w:rPr/>
        <w:t xml:space="preserve">R146 — Le coffre est scopé tenant et chiffré — et ne s'efface que par R115</w:t>
      </w:r>
    </w:p>
    <w:p>
      <w:pPr>
        <w:spacing w:after="100"/>
      </w:pPr>
      <w:r>
        <w:rPr/>
        <w:t xml:space="preserve">La clé de coffre porte le </w:t>
      </w:r>
      <w:r>
        <w:rPr>
          <w:rFonts w:ascii="Consolas" w:hAnsi="Consolas"/>
          <w:sz w:val="18"/>
        </w:rPr>
        <w:t xml:space="preserve">tenantId</w:t>
      </w:r>
      <w:r>
        <w:rPr/>
        <w:t xml:space="preserve"> en </w:t>
      </w:r>
      <w:r>
        <w:rPr>
          <w:b/>
        </w:rPr>
        <w:t xml:space="preserve">préfixe vérifié à la lecture</w:t>
      </w:r>
      <w:r>
        <w:rPr/>
        <w:t xml:space="preserve"> : demander une clé</w:t>
      </w:r>
    </w:p>
    <w:p>
      <w:pPr>
        <w:spacing w:after="100"/>
      </w:pPr>
      <w:r>
        <w:rPr/>
        <w:t xml:space="preserve">d'un autre tenant est un refus </w:t>
      </w:r>
      <w:r>
        <w:rPr>
          <w:b/>
        </w:rPr>
        <w:t xml:space="preserve">structurel</w:t>
      </w:r>
      <w:r>
        <w:rPr/>
        <w:t xml:space="preserve"> (l'isolation ne dépend pas de la politesse de</w:t>
      </w:r>
    </w:p>
    <w:p>
      <w:pPr>
        <w:spacing w:after="100"/>
      </w:pPr>
      <w:r>
        <w:rPr/>
        <w:t xml:space="preserve">l'appelant). Le port reçoit la référence de chiffrement du tenant (</w:t>
      </w:r>
      <w:r>
        <w:rPr>
          <w:rFonts w:ascii="Consolas" w:hAnsi="Consolas"/>
          <w:sz w:val="18"/>
        </w:rPr>
        <w:t xml:space="preserve">storageChiffrement</w:t>
      </w:r>
      <w:r>
        <w:rPr/>
        <w:t xml:space="preserve"> —</w:t>
      </w:r>
    </w:p>
    <w:p>
      <w:pPr>
        <w:spacing w:after="100"/>
      </w:pPr>
      <w:r>
        <w:rPr/>
        <w:t xml:space="preserve">enveloppe par tenant). La **suppression au coffre n'existe que par la destruction certifiée</w:t>
      </w:r>
    </w:p>
    <w:p>
      <w:pPr>
        <w:spacing w:after="100"/>
      </w:pPr>
      <w:r>
        <w:rPr/>
        <w:t xml:space="preserve">R115</w:t>
      </w:r>
      <w:r>
        <w:rPr>
          <w:b/>
        </w:rPr>
        <w:t xml:space="preserve"> : le contenu part, l'empreinte et le certificat </w:t>
      </w:r>
      <w:r>
        <w:rPr/>
        <w:t xml:space="preserve">survivent** en base.</w:t>
      </w:r>
    </w:p>
    <w:p>
      <w:pPr>
        <w:ind w:left="420"/>
        <w:spacing w:after="40"/>
      </w:pPr>
      <w:r>
        <w:rPr>
          <w:b/>
          <w:i/>
        </w:rPr>
        <w:t xml:space="preserve">Scénario CV-04 — L'isolation est structurelle, le chiffrement transmis</w:t>
      </w:r>
    </w:p>
    <w:p>
      <w:pPr>
        <w:ind w:left="420"/>
        <w:spacing w:after="40"/>
      </w:pPr>
      <w:r>
        <w:rPr>
          <w:b/>
          <w:i/>
        </w:rPr>
        <w:t xml:space="preserve">Quand</w:t>
      </w:r>
      <w:r>
        <w:rPr>
          <w:i/>
        </w:rPr>
        <w:t xml:space="preserve"> t2 demande une clé préfixée t1 </w:t>
      </w:r>
      <w:r>
        <w:rPr>
          <w:b/>
          <w:i/>
        </w:rPr>
        <w:t xml:space="preserve">Alors</w:t>
      </w:r>
      <w:r>
        <w:rPr>
          <w:i/>
        </w:rPr>
        <w:t xml:space="preserve"> refus structurel (préfixe vérifié)</w:t>
      </w:r>
    </w:p>
    <w:p>
      <w:pPr>
        <w:ind w:left="420"/>
        <w:spacing w:after="40"/>
      </w:pPr>
      <w:r>
        <w:rPr>
          <w:b/>
          <w:i/>
        </w:rPr>
        <w:t xml:space="preserve">Et</w:t>
      </w:r>
      <w:r>
        <w:rPr>
          <w:i/>
        </w:rPr>
        <w:t xml:space="preserve"> chaque écriture porte la référence de chiffrement du tenant</w:t>
      </w:r>
    </w:p>
    <w:p>
      <w:pPr>
        <w:ind w:left="420"/>
        <w:spacing w:after="40"/>
      </w:pPr>
      <w:r>
        <w:rPr>
          <w:b/>
          <w:i/>
        </w:rPr>
        <w:t xml:space="preserve">Scénario CV-05 — On n'efface qu'en certifiant</w:t>
      </w:r>
    </w:p>
    <w:p>
      <w:pPr>
        <w:ind w:left="420"/>
        <w:spacing w:after="40"/>
      </w:pPr>
      <w:r>
        <w:rPr>
          <w:b/>
          <w:i/>
        </w:rPr>
        <w:t xml:space="preserve">Quand</w:t>
      </w:r>
      <w:r>
        <w:rPr>
          <w:i/>
        </w:rPr>
        <w:t xml:space="preserve"> une purge est demandée hors destruction certifiée </w:t>
      </w:r>
      <w:r>
        <w:rPr>
          <w:b/>
          <w:i/>
        </w:rPr>
        <w:t xml:space="preserve">Alors</w:t>
      </w:r>
      <w:r>
        <w:rPr>
          <w:i/>
        </w:rPr>
        <w:t xml:space="preserve"> refus (R115 seul chemin)</w:t>
      </w:r>
    </w:p>
    <w:p>
      <w:pPr>
        <w:ind w:left="420"/>
        <w:spacing w:after="40"/>
      </w:pPr>
      <w:r>
        <w:rPr>
          <w:b/>
          <w:i/>
        </w:rPr>
        <w:t xml:space="preserve">Quand</w:t>
      </w:r>
      <w:r>
        <w:rPr>
          <w:i/>
        </w:rPr>
        <w:t xml:space="preserve"> la destruction certifiée passe </w:t>
      </w:r>
      <w:r>
        <w:rPr>
          <w:b/>
          <w:i/>
        </w:rPr>
        <w:t xml:space="preserve">Alors</w:t>
      </w:r>
      <w:r>
        <w:rPr>
          <w:i/>
        </w:rPr>
        <w:t xml:space="preserve"> coffre purgé, empreinte + certificat SURVIVENT</w:t>
      </w:r>
    </w:p>
    <w:p>
      <w:pPr>
        <w:pStyle w:val="Heading2"/>
        <w:spacing w:after="140"/>
      </w:pPr>
      <w:r>
        <w:rPr/>
        <w:t xml:space="preserve">R147 — Le coffre se réconcilie — la mesure, jamais la purge automatique</w:t>
      </w:r>
    </w:p>
    <w:p>
      <w:pPr>
        <w:spacing w:after="100"/>
      </w:pPr>
      <w:r>
        <w:rPr/>
        <w:t xml:space="preserve">Un tick d'inventaire compare base ↔ coffre : </w:t>
      </w:r>
      <w:r>
        <w:rPr>
          <w:b/>
        </w:rPr>
        <w:t xml:space="preserve">orphelin au coffre</w:t>
      </w:r>
      <w:r>
        <w:rPr/>
        <w:t xml:space="preserve"> (clé sans version) →</w:t>
      </w:r>
    </w:p>
    <w:p>
      <w:pPr>
        <w:spacing w:after="100"/>
      </w:pPr>
      <w:r>
        <w:rPr/>
        <w:t xml:space="preserve">alerte ; </w:t>
      </w:r>
      <w:r>
        <w:rPr>
          <w:b/>
        </w:rPr>
        <w:t xml:space="preserve">manquant au coffre</w:t>
      </w:r>
      <w:r>
        <w:rPr/>
        <w:t xml:space="preserve"> (version sans contenu) → alerte </w:t>
      </w:r>
      <w:r>
        <w:rPr>
          <w:b/>
        </w:rPr>
        <w:t xml:space="preserve">CRITIQUE</w:t>
      </w:r>
      <w:r>
        <w:rPr/>
        <w:t xml:space="preserve"> + tâche. Le tick</w:t>
      </w:r>
    </w:p>
    <w:p>
      <w:pPr>
        <w:spacing w:after="100"/>
      </w:pPr>
      <w:r>
        <w:rPr>
          <w:b/>
        </w:rPr>
        <w:t xml:space="preserve">mesure et notifie</w:t>
      </w:r>
      <w:r>
        <w:rPr/>
        <w:t xml:space="preserve"> (R39) — il ne supprime ni ne répare jamais seul : un écart d'inventaire</w:t>
      </w:r>
    </w:p>
    <w:p>
      <w:pPr>
        <w:spacing w:after="100"/>
      </w:pPr>
      <w:r>
        <w:rPr/>
        <w:t xml:space="preserve">est un fait d'audit, pas un ménage.</w:t>
      </w:r>
    </w:p>
    <w:p>
      <w:pPr>
        <w:ind w:left="420"/>
        <w:spacing w:after="40"/>
      </w:pPr>
      <w:r>
        <w:rPr>
          <w:b/>
          <w:i/>
        </w:rPr>
        <w:t xml:space="preserve">Scénario CV-06 — L'inventaire alerte, ne touche à rien</w:t>
      </w:r>
    </w:p>
    <w:p>
      <w:pPr>
        <w:ind w:left="420"/>
        <w:spacing w:after="40"/>
      </w:pPr>
      <w:r>
        <w:rPr>
          <w:b/>
          <w:i/>
        </w:rPr>
        <w:t xml:space="preserve">Étant donné</w:t>
      </w:r>
      <w:r>
        <w:rPr>
          <w:i/>
        </w:rPr>
        <w:t xml:space="preserve"> un orphelin au coffre et une version sans contenu</w:t>
      </w:r>
    </w:p>
    <w:p>
      <w:pPr>
        <w:ind w:left="420"/>
        <w:spacing w:after="40"/>
      </w:pPr>
      <w:r>
        <w:rPr>
          <w:b/>
          <w:i/>
        </w:rPr>
        <w:t xml:space="preserve">Quand</w:t>
      </w:r>
      <w:r>
        <w:rPr>
          <w:i/>
        </w:rPr>
        <w:t xml:space="preserve"> le tick passe </w:t>
      </w:r>
      <w:r>
        <w:rPr>
          <w:b/>
          <w:i/>
        </w:rPr>
        <w:t xml:space="preserve">Alors</w:t>
      </w:r>
      <w:r>
        <w:rPr>
          <w:i/>
        </w:rPr>
        <w:t xml:space="preserve"> alerte simple + alerte CRITIQUE + tâche, UNE fois —</w:t>
      </w:r>
    </w:p>
    <w:p>
      <w:pPr>
        <w:ind w:left="420"/>
        <w:spacing w:after="40"/>
      </w:pPr>
      <w:r>
        <w:rPr>
          <w:i/>
        </w:rPr>
        <w:t xml:space="preserve">et NI suppression NI recréation</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Port</w:t>
            </w:r>
          </w:p>
        </w:tc>
        <w:tc>
          <w:tcPr>
            <w:tcW w:w="4650" w:type="dxa"/>
          </w:tcPr>
          <w:p>
            <w:pPr>
              <w:spacing w:after="40"/>
            </w:pPr>
            <w:r>
              <w:rPr>
                <w:rFonts w:ascii="Consolas" w:hAnsi="Consolas"/>
                <w:sz w:val="18"/>
              </w:rPr>
              <w:t xml:space="preserve">StoragePort { ecrire(cle, contenu, opts{region, chiffrementRef}), lire(cle), supprimer(cle), lister(prefixe) }</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CoffreService(prisma, audit, ports { storage })</w:t>
            </w:r>
            <w:r>
              <w:rPr/>
              <w:t xml:space="preserve"> : </w:t>
            </w:r>
            <w:r>
              <w:rPr>
                <w:rFonts w:ascii="Consolas" w:hAnsi="Consolas"/>
                <w:sz w:val="18"/>
              </w:rPr>
              <w:t xml:space="preserve">ecrire</w:t>
            </w:r>
            <w:r>
              <w:rPr/>
              <w:t xml:space="preserve"> (R144 — clé déterministe, jamais de contenu en base), </w:t>
            </w:r>
            <w:r>
              <w:rPr>
                <w:rFonts w:ascii="Consolas" w:hAnsi="Consolas"/>
                <w:sz w:val="18"/>
              </w:rPr>
              <w:t xml:space="preserve">lire</w:t>
            </w:r>
            <w:r>
              <w:rPr/>
              <w:t xml:space="preserve"> (R145 — re-vérification systématique), </w:t>
            </w:r>
            <w:r>
              <w:rPr>
                <w:rFonts w:ascii="Consolas" w:hAnsi="Consolas"/>
                <w:sz w:val="18"/>
              </w:rPr>
              <w:t xml:space="preserve">purgerCertifie</w:t>
            </w:r>
            <w:r>
              <w:rPr/>
              <w:t xml:space="preserve"> (R146/R115), </w:t>
            </w:r>
            <w:r>
              <w:rPr>
                <w:rFonts w:ascii="Consolas" w:hAnsi="Consolas"/>
                <w:sz w:val="18"/>
              </w:rPr>
              <w:t xml:space="preserve">reconcilier</w:t>
            </w:r>
            <w:r>
              <w:rPr/>
              <w:t xml:space="preserve"> (R147)</w:t>
            </w:r>
          </w:p>
        </w:tc>
      </w:tr>
      <w:tr>
        <w:tc>
          <w:tcPr>
            <w:tcW w:w="4650" w:type="dxa"/>
          </w:tcPr>
          <w:p>
            <w:pPr>
              <w:spacing w:after="40"/>
            </w:pPr>
            <w:r>
              <w:rPr>
                <w:b/>
              </w:rPr>
              <w:t xml:space="preserve">Adaptateur livré</w:t>
            </w:r>
          </w:p>
        </w:tc>
        <w:tc>
          <w:tcPr>
            <w:tcW w:w="4650" w:type="dxa"/>
          </w:tcPr>
          <w:p>
            <w:pPr>
              <w:spacing w:after="40"/>
            </w:pPr>
            <w:r>
              <w:rPr>
                <w:rFonts w:ascii="Consolas" w:hAnsi="Consolas"/>
                <w:sz w:val="18"/>
              </w:rPr>
              <w:t xml:space="preserve">s3-storage.adapter.ts</w:t>
            </w:r>
            <w:r>
              <w:rPr/>
              <w:t xml:space="preserve"> — Exoscale SOS (S3-compatible, endpoint </w:t>
            </w:r>
            <w:r>
              <w:rPr>
                <w:rFonts w:ascii="Consolas" w:hAnsi="Consolas"/>
                <w:sz w:val="18"/>
              </w:rPr>
              <w:t xml:space="preserve">sos-{region}.exo.io</w:t>
            </w:r>
            <w:r>
              <w:rPr/>
              <w:t xml:space="preserve">), SSE, prêt au câblage verbatim (précédent : claude-ia.adapter.ts) — NON exécuté ici (réseau), recette d'activation au RUNBOOK</w:t>
            </w:r>
          </w:p>
        </w:tc>
      </w:tr>
      <w:tr>
        <w:tc>
          <w:tcPr>
            <w:tcW w:w="4650" w:type="dxa"/>
          </w:tcPr>
          <w:p>
            <w:pPr>
              <w:spacing w:after="40"/>
            </w:pPr>
            <w:r>
              <w:rPr/>
              <w:t xml:space="preserve">Schéma</w:t>
            </w:r>
          </w:p>
        </w:tc>
        <w:tc>
          <w:tcPr>
            <w:tcW w:w="4650" w:type="dxa"/>
          </w:tcPr>
          <w:p>
            <w:pPr>
              <w:spacing w:after="40"/>
            </w:pPr>
            <w:r>
              <w:rPr>
                <w:rFonts w:ascii="Consolas" w:hAnsi="Consolas"/>
                <w:sz w:val="18"/>
              </w:rPr>
              <w:t xml:space="preserve">DocumentVersion.storageKey String?</w:t>
            </w:r>
            <w:r>
              <w:rPr/>
              <w:t xml:space="preserve"> (diff additif)</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storageRegion</w:t>
            </w:r>
            <w:r>
              <w:rPr/>
              <w:t xml:space="preserve"> (string, </w:t>
            </w:r>
            <w:r>
              <w:rPr>
                <w:rFonts w:ascii="Consolas" w:hAnsi="Consolas"/>
                <w:sz w:val="18"/>
              </w:rPr>
              <w:t xml:space="preserve">ch-gva-2</w:t>
            </w:r>
            <w:r>
              <w:rPr/>
              <w:t xml:space="preserve">, R144/R146) · </w:t>
            </w:r>
            <w:r>
              <w:rPr>
                <w:rFonts w:ascii="Consolas" w:hAnsi="Consolas"/>
                <w:sz w:val="18"/>
              </w:rPr>
              <w:t xml:space="preserve">storageChiffrement</w:t>
            </w:r>
            <w:r>
              <w:rPr/>
              <w:t xml:space="preserve"> (string réf. enveloppe, R146)</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coffre.ecrit</w:t>
            </w:r>
            <w:r>
              <w:rPr/>
              <w:t xml:space="preserve"> · </w:t>
            </w:r>
            <w:r>
              <w:rPr>
                <w:rFonts w:ascii="Consolas" w:hAnsi="Consolas"/>
                <w:sz w:val="18"/>
              </w:rPr>
              <w:t xml:space="preserve">coffre.integrite.alerte</w:t>
            </w:r>
            <w:r>
              <w:rPr/>
              <w:t xml:space="preserve"> · </w:t>
            </w:r>
            <w:r>
              <w:rPr>
                <w:rFonts w:ascii="Consolas" w:hAnsi="Consolas"/>
                <w:sz w:val="18"/>
              </w:rPr>
              <w:t xml:space="preserve">coffre.purge.certifiee</w:t>
            </w:r>
            <w:r>
              <w:rPr/>
              <w:t xml:space="preserve"> · </w:t>
            </w:r>
            <w:r>
              <w:rPr>
                <w:rFonts w:ascii="Consolas" w:hAnsi="Consolas"/>
                <w:sz w:val="18"/>
              </w:rPr>
              <w:t xml:space="preserve">coffre.reconciliation.orphelin</w:t>
            </w:r>
            <w:r>
              <w:rPr/>
              <w:t xml:space="preserve"> · </w:t>
            </w:r>
            <w:r>
              <w:rPr>
                <w:rFonts w:ascii="Consolas" w:hAnsi="Consolas"/>
                <w:sz w:val="18"/>
              </w:rPr>
              <w:t xml:space="preserve">coffre.reconciliation.manquant</w:t>
            </w:r>
            <w:r>
              <w:rPr/>
              <w:t xml:space="preserve"> · </w:t>
            </w:r>
            <w:r>
              <w:rPr>
                <w:rFonts w:ascii="Consolas" w:hAnsi="Consolas"/>
                <w:sz w:val="18"/>
              </w:rPr>
              <w:t xml:space="preserve">tache.coffre.reconciliation</w:t>
            </w:r>
          </w:p>
        </w:tc>
      </w:tr>
      <w:tr>
        <w:tc>
          <w:tcPr>
            <w:tcW w:w="4650" w:type="dxa"/>
          </w:tcPr>
          <w:p>
            <w:pPr>
              <w:spacing w:after="40"/>
            </w:pPr>
            <w:r>
              <w:rPr/>
              <w:t xml:space="preserve">Câblage GED (documenté, lot suivant)</w:t>
            </w:r>
          </w:p>
        </w:tc>
        <w:tc>
          <w:tcPr>
            <w:tcW w:w="4650" w:type="dxa"/>
          </w:tcPr>
          <w:p>
            <w:pPr>
              <w:spacing w:after="40"/>
            </w:pPr>
            <w:r>
              <w:rPr>
                <w:rFonts w:ascii="Consolas" w:hAnsi="Consolas"/>
                <w:sz w:val="18"/>
              </w:rPr>
              <w:t xml:space="preserve">GedService.deposer/restituer</w:t>
            </w:r>
            <w:r>
              <w:rPr/>
              <w:t xml:space="preserve"> passent par le coffre — MIGRATION DOUCE notée au RUNBOOK, pas de réécriture des services dans CE lot</w:t>
            </w:r>
          </w:p>
        </w:tc>
      </w:tr>
    </w:tbl>
    <w:p>
      <w:pPr>
        <w:spacing w:after="120"/>
      </w:pPr>
    </w:p>
    <w:p>
      <w:pPr>
        <w:spacing w:after="100"/>
      </w:pPr>
      <w:r>
        <w:rPr/>
        <w:t xml:space="preserve">Tests : CV-01..06 (</w:t>
      </w:r>
      <w:r>
        <w:rPr>
          <w:rFonts w:ascii="Consolas" w:hAnsi="Consolas"/>
          <w:sz w:val="18"/>
        </w:rPr>
        <w:t xml:space="preserve">coffre.wiring.spec.ts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v4.9 → v4.10 — ratification du Bloc 26</w:t>
      </w:r>
    </w:p>
    <w:p>
      <w:pPr>
        <w:spacing w:after="100"/>
      </w:pPr>
      <w:r>
        <w:rPr>
          <w:b/>
        </w:rPr>
        <w:t xml:space="preserve">Décision : Ali Gharsallah ratifie, le 20.07.2026, les règles R144 → R147</w:t>
      </w:r>
      <w:r>
        <w:rPr/>
        <w:t xml:space="preserve"> (Bloc 26 ·</w:t>
      </w:r>
    </w:p>
    <w:p>
      <w:pPr>
        <w:spacing w:after="100"/>
      </w:pPr>
      <w:r>
        <w:rPr/>
        <w:t xml:space="preserve">Le coffre — stockage gouverné). Page de garde Word : v4.10.</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26 · Le coffre — stockage gouverné</w:t>
            </w:r>
          </w:p>
        </w:tc>
        <w:tc>
          <w:tcPr>
            <w:tcW w:w="2325" w:type="dxa"/>
          </w:tcPr>
          <w:p>
            <w:pPr>
              <w:spacing w:after="40"/>
            </w:pPr>
            <w:r>
              <w:rPr>
                <w:b/>
              </w:rPr>
              <w:t xml:space="preserve">R144 R145 R146 R147</w:t>
            </w:r>
          </w:p>
        </w:tc>
        <w:tc>
          <w:tcPr>
            <w:tcW w:w="2325" w:type="dxa"/>
          </w:tcPr>
          <w:p>
            <w:pPr>
              <w:spacing w:after="40"/>
            </w:pPr>
            <w:r>
              <w:rPr/>
              <w:t xml:space="preserve">CV-01..06</w:t>
            </w:r>
          </w:p>
        </w:tc>
        <w:tc>
          <w:tcPr>
            <w:tcW w:w="2325" w:type="dxa"/>
          </w:tcPr>
          <w:p>
            <w:pPr>
              <w:spacing w:after="40"/>
            </w:pPr>
            <w:r>
              <w:rPr/>
              <w:t xml:space="preserve">6/6</w:t>
            </w:r>
          </w:p>
        </w:tc>
      </w:tr>
    </w:tbl>
    <w:p>
      <w:pPr>
        <w:spacing w:after="120"/>
      </w:pPr>
    </w:p>
    <w:p>
      <w:pPr>
        <w:ind w:left="420"/>
        <w:spacing w:after="40"/>
      </w:pPr>
      <w:r>
        <w:rPr/>
        <w:t xml:space="preserve">·  </w:t>
      </w:r>
      <w:r>
        <w:rPr>
          <w:b/>
        </w:rPr>
        <w:t xml:space="preserve">Scénarios catalogue</w:t>
      </w:r>
      <w:r>
        <w:rPr/>
        <w:t xml:space="preserve"> : 217 (v4.9) + CV 6 = </w:t>
      </w:r>
      <w:r>
        <w:rPr>
          <w:b/>
        </w:rPr>
        <w:t xml:space="preserve">223 IDs</w:t>
      </w:r>
      <w:r>
        <w:rPr/>
        <w:t xml:space="preserve">.</w:t>
      </w:r>
    </w:p>
    <w:p>
      <w:pPr>
        <w:ind w:left="420"/>
        <w:spacing w:after="40"/>
      </w:pPr>
      <w:r>
        <w:rPr/>
        <w:t xml:space="preserve">·  </w:t>
      </w:r>
      <w:r>
        <w:rPr>
          <w:b/>
        </w:rPr>
        <w:t xml:space="preserve">Corpus backend</w:t>
      </w:r>
      <w:r>
        <w:rPr/>
        <w:t xml:space="preserve"> : 238 + 6 = </w:t>
      </w:r>
      <w:r>
        <w:rPr>
          <w:b/>
        </w:rPr>
        <w:t xml:space="preserve">244</w:t>
      </w:r>
      <w:r>
        <w:rPr/>
        <w:t xml:space="preserve"> — vérifié sur l'arbre réel le jour même.</w:t>
      </w:r>
    </w:p>
    <w:p>
      <w:pPr>
        <w:ind w:left="420"/>
        <w:spacing w:after="40"/>
      </w:pPr>
      <w:r>
        <w:rPr/>
        <w:t xml:space="preserve">·  </w:t>
      </w:r>
      <w:r>
        <w:rPr>
          <w:b/>
        </w:rPr>
        <w:t xml:space="preserve">Adaptateur de production LIVRÉ</w:t>
      </w:r>
      <w:r>
        <w:rPr/>
        <w:t xml:space="preserve"> : </w:t>
      </w:r>
      <w:r>
        <w:rPr>
          <w:rFonts w:ascii="Consolas" w:hAnsi="Consolas"/>
          <w:sz w:val="18"/>
        </w:rPr>
        <w:t xml:space="preserve">s3-storage.adapter.ts</w:t>
      </w:r>
      <w:r>
        <w:rPr/>
        <w:t xml:space="preserve"> — Exoscale SOS (S3-compatible),</w:t>
      </w:r>
    </w:p>
    <w:p>
      <w:pPr>
        <w:spacing w:after="100"/>
      </w:pPr>
      <w:r>
        <w:rPr/>
        <w:t xml:space="preserve">  résidence suisse (</w:t>
      </w:r>
      <w:r>
        <w:rPr>
          <w:rFonts w:ascii="Consolas" w:hAnsi="Consolas"/>
          <w:sz w:val="18"/>
        </w:rPr>
        <w:t xml:space="preserve">ch-gva-2</w:t>
      </w:r>
      <w:r>
        <w:rPr/>
        <w:t xml:space="preserve">), SSE, fail-fast sans credentials. Recette d'activation au</w:t>
      </w:r>
    </w:p>
    <w:p>
      <w:pPr>
        <w:spacing w:after="100"/>
      </w:pPr>
      <w:r>
        <w:rPr/>
        <w:t xml:space="preserve">  RUNBOOK (lot Claude Code).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storageRegion</w:t>
      </w:r>
      <w:r>
        <w:rPr/>
        <w:t xml:space="preserve"> (ch-gva-2) ·</w:t>
      </w:r>
    </w:p>
    <w:p>
      <w:pPr>
        <w:spacing w:after="100"/>
      </w:pPr>
      <w:r>
        <w:rPr/>
        <w:t xml:space="preserve">  </w:t>
      </w:r>
      <w:r>
        <w:rPr>
          <w:rFonts w:ascii="Consolas" w:hAnsi="Consolas"/>
          <w:sz w:val="18"/>
        </w:rPr>
        <w:t xml:space="preserve">storageChiffrement</w:t>
      </w:r>
      <w:r>
        <w:rPr/>
        <w:t xml:space="preserve"> (enveloppe par tenant).</w:t>
      </w:r>
    </w:p>
    <w:p>
      <w:pPr>
        <w:ind w:left="420"/>
        <w:spacing w:after="40"/>
      </w:pPr>
      <w:r>
        <w:rPr/>
        <w:t xml:space="preserve">·  </w:t>
      </w:r>
      <w:r>
        <w:rPr>
          <w:b/>
        </w:rPr>
        <w:t xml:space="preserve">Famille de scénarios</w:t>
      </w:r>
      <w:r>
        <w:rPr/>
        <w:t xml:space="preserve"> : CV — incident évité par la vérification systématique (ST- semblait</w:t>
      </w:r>
    </w:p>
    <w:p>
      <w:pPr>
        <w:spacing w:after="100"/>
      </w:pPr>
      <w:r>
        <w:rPr/>
        <w:t xml:space="preserve">  libre au Word v4.0 mais PRISE par les stress tests du catalogue R1-R56).</w:t>
      </w:r>
    </w:p>
    <w:p>
      <w:pPr>
        <w:ind w:left="420"/>
        <w:spacing w:after="40"/>
      </w:pPr>
      <w:r>
        <w:rPr/>
        <w:t xml:space="preserve">·  La GED est vraie de bout en bout : **ingestion (R137) → preuve (R109-R113) → coffre (R144) →</w:t>
      </w:r>
    </w:p>
    <w:p>
      <w:pPr>
        <w:spacing w:after="100"/>
      </w:pPr>
      <w:r>
        <w:rPr/>
        <w:t xml:space="preserve">  destruction certifiée (R115/R146)** — plus aucune promesse sans acte.</w:t>
      </w:r>
    </w:p>
    <w:p>
      <w:pPr>
        <w:ind w:left="420"/>
        <w:spacing w:after="40"/>
      </w:pPr>
      <w:r>
        <w:rPr/>
        <w:t xml:space="preserve">·  </w:t>
      </w:r>
      <w:r>
        <w:rPr>
          <w:b/>
        </w:rPr>
        <w:t xml:space="preserve">Décisions UX du même jour, au registre des invariants</w:t>
      </w:r>
      <w:r>
        <w:rPr/>
        <w:t xml:space="preserve"> : DB-01 (Command Center clair) ·</w:t>
      </w:r>
    </w:p>
    <w:p>
      <w:pPr>
        <w:spacing w:after="100"/>
      </w:pPr>
      <w:r>
        <w:rPr/>
        <w:t xml:space="preserve">  DB-02 (Branche de vie — cycle + timeline fusionnés en branche verticale).</w:t>
      </w:r>
    </w:p>
    <w:p>
      <w:pPr>
        <w:ind w:left="420"/>
        <w:spacing w:after="40"/>
      </w:pPr>
      <w:r>
        <w:rPr/>
        <w:t xml:space="preserve">·  Catalogue : </w:t>
      </w:r>
      <w:r>
        <w:rPr>
          <w:b/>
        </w:rPr>
        <w:t xml:space="preserve">R1 → R147, aucune règle proposée.</w:t>
      </w:r>
    </w:p>
    <w:p>
      <w:r>
        <w:br w:type="page"/>
      </w:r>
    </w:p>
    <w:p>
      <w:pPr>
        <w:rPr>
          <w:b w:val="1"/>
          <w:sz w:val="32"/>
        </w:rPr>
      </w:pPr>
      <w:r>
        <w:rPr>
          <w:b w:val="1"/>
          <w:sz w:val="32"/>
        </w:rPr>
        <w:t xml:space="preserve">Catalogue O-Live — Amendement PROPOSÉ (R148 → R151) · Bloc 27 « La recherche — trouver sans trahir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R147. Famille de scénarios : RS (vérifiée libre — Word v4.10 + spec).</w:t>
      </w:r>
    </w:p>
    <w:p>
      <w:pPr>
        <w:rPr>
          <w:b w:val="0"/>
          <w:sz w:val="20"/>
        </w:rPr>
      </w:pPr>
      <w:r>
        <w:rPr>
          <w:b w:val="0"/>
          <w:sz w:val="20"/>
        </w:rPr>
        <w:t xml:space="preserve">Le catalogue précède le code. Origine produit : écart Therefore n° 2 (recherche plein texte).</w:t>
      </w:r>
    </w:p>
    <w:p>
      <w:pPr>
        <w:rPr>
          <w:b w:val="0"/>
          <w:sz w:val="20"/>
        </w:rPr>
      </w:pPr>
      <w:r>
        <w:rPr>
          <w:b w:val="0"/>
          <w:sz w:val="20"/>
        </w:rPr>
        <w:t xml:space="preserve"/>
      </w:r>
    </w:p>
    <w:p>
      <w:pPr>
        <w:rPr>
          <w:b w:val="1"/>
          <w:sz w:val="26"/>
        </w:rPr>
      </w:pPr>
      <w:r>
        <w:rPr>
          <w:b w:val="1"/>
          <w:sz w:val="26"/>
        </w:rPr>
        <w:t xml:space="preserve">Le problème</w:t>
      </w:r>
    </w:p>
    <w:p>
      <w:pPr>
        <w:rPr>
          <w:b w:val="0"/>
          <w:sz w:val="20"/>
        </w:rPr>
      </w:pPr>
      <w:r>
        <w:rPr>
          <w:b w:val="0"/>
          <w:sz w:val="20"/>
        </w:rPr>
        <w:t xml:space="preserve"/>
      </w:r>
    </w:p>
    <w:p>
      <w:pPr>
        <w:rPr>
          <w:b w:val="0"/>
          <w:sz w:val="20"/>
        </w:rPr>
      </w:pPr>
      <w:r>
        <w:rPr>
          <w:b w:val="0"/>
          <w:sz w:val="20"/>
        </w:rPr>
        <w:t xml:space="preserve">Therefore indexe tout et cherche partout — et c'est précisément le danger en banque privée :</w:t>
      </w:r>
    </w:p>
    <w:p>
      <w:pPr>
        <w:rPr>
          <w:b w:val="0"/>
          <w:sz w:val="20"/>
        </w:rPr>
      </w:pPr>
      <w:r>
        <w:rPr>
          <w:b w:val="0"/>
          <w:sz w:val="20"/>
        </w:rPr>
        <w:t xml:space="preserve">une recherche est le moyen le plus rapide de fuiter l'existence d'un document qu'on n'a pas</w:t>
      </w:r>
    </w:p>
    <w:p>
      <w:pPr>
        <w:rPr>
          <w:b w:val="0"/>
          <w:sz w:val="20"/>
        </w:rPr>
      </w:pPr>
      <w:r>
        <w:rPr>
          <w:b w:val="0"/>
          <w:sz w:val="20"/>
        </w:rPr>
        <w:t xml:space="preserve">le droit de voir. Quatre règles font une recherche qui trouve sans trahir : l'index est un</w:t>
      </w:r>
    </w:p>
    <w:p>
      <w:pPr>
        <w:rPr>
          <w:b w:val="0"/>
          <w:sz w:val="20"/>
        </w:rPr>
      </w:pPr>
      <w:r>
        <w:rPr>
          <w:b w:val="0"/>
          <w:sz w:val="20"/>
        </w:rPr>
        <w:t xml:space="preserve">dérivé rejouable (jamais une vérité), l'habilitation s'applique au résultat, la trace est</w:t>
      </w:r>
    </w:p>
    <w:p>
      <w:pPr>
        <w:rPr>
          <w:b w:val="0"/>
          <w:sz w:val="20"/>
        </w:rPr>
      </w:pPr>
      <w:r>
        <w:rPr>
          <w:b w:val="0"/>
          <w:sz w:val="20"/>
        </w:rPr>
        <w:t xml:space="preserve">systématique, et l'index suit la vie du document jusqu'à sa destruction.</w:t>
      </w:r>
    </w:p>
    <w:p>
      <w:pPr>
        <w:rPr>
          <w:b w:val="0"/>
          <w:sz w:val="20"/>
        </w:rPr>
      </w:pPr>
      <w:r>
        <w:rPr>
          <w:b w:val="0"/>
          <w:sz w:val="20"/>
        </w:rPr>
        <w:t xml:space="preserve"/>
      </w:r>
    </w:p>
    <w:p>
      <w:pPr>
        <w:rPr>
          <w:b w:val="0"/>
          <w:sz w:val="20"/>
        </w:rPr>
      </w:pPr>
      <w:r>
        <w:rPr>
          <w:b w:val="0"/>
          <w:sz w:val="20"/>
        </w:rPr>
        <w:t xml:space="preserve">Aucun paramètre tenant nouveau — la recherche ne se paramètre pas, elle s'habilite : elle</w:t>
      </w:r>
    </w:p>
    <w:p>
      <w:pPr>
        <w:rPr>
          <w:b w:val="0"/>
          <w:sz w:val="20"/>
        </w:rPr>
      </w:pPr>
      <w:r>
        <w:rPr>
          <w:b w:val="0"/>
          <w:sz w:val="20"/>
        </w:rPr>
        <w:t xml:space="preserve">hérite intégralement des registres existants (types R112, arrivée R139).</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R148 — L'index est un DÉRIVÉ rejouable — jamais une vérité</w:t>
      </w:r>
    </w:p>
    <w:p>
      <w:pPr>
        <w:rPr>
          <w:b w:val="0"/>
          <w:sz w:val="20"/>
        </w:rPr>
      </w:pPr>
      <w:r>
        <w:rPr>
          <w:b w:val="0"/>
          <w:sz w:val="20"/>
        </w:rPr>
        <w:t xml:space="preserve"/>
      </w:r>
    </w:p>
    <w:p>
      <w:pPr>
        <w:rPr>
          <w:b w:val="0"/>
          <w:sz w:val="20"/>
        </w:rPr>
      </w:pPr>
      <w:r>
        <w:rPr>
          <w:b w:val="0"/>
          <w:sz w:val="20"/>
        </w:rPr>
        <w:t xml:space="preserve">L'index plein texte se construit depuis les dérivés OCR (R138) et les métadonnées ; chaque</w:t>
      </w:r>
    </w:p>
    <w:p>
      <w:pPr>
        <w:rPr>
          <w:b w:val="0"/>
          <w:sz w:val="20"/>
        </w:rPr>
      </w:pPr>
      <w:r>
        <w:rPr>
          <w:b w:val="0"/>
          <w:sz w:val="20"/>
        </w:rPr>
        <w:t xml:space="preserve">entrée porte la référence (document, version) et l'empreinte du dérivé source — jamais un</w:t>
      </w:r>
    </w:p>
    <w:p>
      <w:pPr>
        <w:rPr>
          <w:b w:val="0"/>
          <w:sz w:val="20"/>
        </w:rPr>
      </w:pPr>
      <w:r>
        <w:rPr>
          <w:b w:val="0"/>
          <w:sz w:val="20"/>
        </w:rPr>
        <w:t xml:space="preserve">contenu faisant foi (la vérité reste l'original au coffre, R144/R109). L'index entier est</w:t>
      </w:r>
    </w:p>
    <w:p>
      <w:pPr>
        <w:rPr>
          <w:b w:val="0"/>
          <w:sz w:val="20"/>
        </w:rPr>
      </w:pPr>
      <w:r>
        <w:rPr>
          <w:b w:val="0"/>
          <w:sz w:val="20"/>
        </w:rPr>
        <w:t xml:space="preserve">rejouable : sa reconstruction complète depuis la base produit des entrées d'empreintes</w:t>
      </w:r>
    </w:p>
    <w:p>
      <w:pPr>
        <w:rPr>
          <w:b w:val="0"/>
          <w:sz w:val="20"/>
        </w:rPr>
      </w:pPr>
      <w:r>
        <w:rPr>
          <w:b w:val="0"/>
          <w:sz w:val="20"/>
        </w:rPr>
        <w:t xml:space="preserve">identiques. Il peut brûler sans perte.</w:t>
      </w:r>
    </w:p>
    <w:p>
      <w:pPr>
        <w:rPr>
          <w:b w:val="0"/>
          <w:sz w:val="20"/>
        </w:rPr>
      </w:pPr>
      <w:r>
        <w:rPr>
          <w:b w:val="0"/>
          <w:sz w:val="20"/>
        </w:rPr>
        <w:t xml:space="preserve"/>
      </w:r>
    </w:p>
    <w:p>
      <w:pPr>
        <w:rPr>
          <w:b w:val="0"/>
          <w:sz w:val="20"/>
        </w:rPr>
      </w:pPr>
      <w:r>
        <w:rPr>
          <w:b w:val="0"/>
          <w:sz w:val="20"/>
        </w:rPr>
        <w:t xml:space="preserve">&gt; Scénario RS-01 — L'entrée référence, la reconstruction reproduit</w:t>
      </w:r>
    </w:p>
    <w:p>
      <w:pPr>
        <w:rPr>
          <w:b w:val="0"/>
          <w:sz w:val="20"/>
        </w:rPr>
      </w:pPr>
      <w:r>
        <w:rPr>
          <w:b w:val="0"/>
          <w:sz w:val="20"/>
        </w:rPr>
        <w:t xml:space="preserve">&gt; Quand une version OCRisée est indexée Alors l'entrée porte (documentId, versionId,</w:t>
      </w:r>
    </w:p>
    <w:p>
      <w:pPr>
        <w:rPr>
          <w:b w:val="0"/>
          <w:sz w:val="20"/>
        </w:rPr>
      </w:pPr>
      <w:r>
        <w:rPr>
          <w:b w:val="0"/>
          <w:sz w:val="20"/>
        </w:rPr>
        <w:t xml:space="preserve">&gt; empreinte du dérivé) — pas de vérité propre</w:t>
      </w:r>
    </w:p>
    <w:p>
      <w:pPr>
        <w:rPr>
          <w:b w:val="0"/>
          <w:sz w:val="20"/>
        </w:rPr>
      </w:pPr>
      <w:r>
        <w:rPr>
          <w:b w:val="0"/>
          <w:sz w:val="20"/>
        </w:rPr>
        <w:t xml:space="preserve">&gt; Quand l'index est reconstruit de zéro Alors les empreintes sont IDENTIQUES</w:t>
      </w:r>
    </w:p>
    <w:p>
      <w:pPr>
        <w:rPr>
          <w:b w:val="0"/>
          <w:sz w:val="20"/>
        </w:rPr>
      </w:pPr>
      <w:r>
        <w:rPr>
          <w:b w:val="0"/>
          <w:sz w:val="20"/>
        </w:rPr>
        <w:t xml:space="preserve"/>
      </w:r>
    </w:p>
    <w:p>
      <w:pPr>
        <w:rPr>
          <w:b w:val="0"/>
          <w:sz w:val="20"/>
        </w:rPr>
      </w:pPr>
      <w:r>
        <w:rPr>
          <w:b w:val="0"/>
          <w:sz w:val="20"/>
        </w:rPr>
        <w:t xml:space="preserve">&gt; Scénario RS-02 — La désynchronisation se détecte, ne se répare pas seule</w:t>
      </w:r>
    </w:p>
    <w:p>
      <w:pPr>
        <w:rPr>
          <w:b w:val="0"/>
          <w:sz w:val="20"/>
        </w:rPr>
      </w:pPr>
      <w:r>
        <w:rPr>
          <w:b w:val="0"/>
          <w:sz w:val="20"/>
        </w:rPr>
        <w:t xml:space="preserve">&gt; Étant donné une entrée d'index dont le document a disparu hors flux</w:t>
      </w:r>
    </w:p>
    <w:p>
      <w:pPr>
        <w:rPr>
          <w:b w:val="0"/>
          <w:sz w:val="20"/>
        </w:rPr>
      </w:pPr>
      <w:r>
        <w:rPr>
          <w:b w:val="0"/>
          <w:sz w:val="20"/>
        </w:rPr>
        <w:t xml:space="preserve">&gt; Quand la réconciliation passe Alors alerte UNE fois (R39) — l'index n'est pas purgé</w:t>
      </w:r>
    </w:p>
    <w:p>
      <w:pPr>
        <w:rPr>
          <w:b w:val="0"/>
          <w:sz w:val="20"/>
        </w:rPr>
      </w:pPr>
      <w:r>
        <w:rPr>
          <w:b w:val="0"/>
          <w:sz w:val="20"/>
        </w:rPr>
        <w:t xml:space="preserve">&gt; en silence (un écart d'index est un fait d'audit, pattern R147)</w:t>
      </w:r>
    </w:p>
    <w:p>
      <w:pPr>
        <w:rPr>
          <w:b w:val="0"/>
          <w:sz w:val="20"/>
        </w:rPr>
      </w:pPr>
      <w:r>
        <w:rPr>
          <w:b w:val="0"/>
          <w:sz w:val="20"/>
        </w:rPr>
        <w:t xml:space="preserve"/>
      </w:r>
    </w:p>
    <w:p>
      <w:pPr>
        <w:rPr>
          <w:b w:val="1"/>
          <w:sz w:val="26"/>
        </w:rPr>
      </w:pPr>
      <w:r>
        <w:rPr>
          <w:b w:val="1"/>
          <w:sz w:val="26"/>
        </w:rPr>
        <w:t xml:space="preserve">R149 — L'habilitation s'applique AU RÉSULTAT — l'existence même ne fuite pas</w:t>
      </w:r>
    </w:p>
    <w:p>
      <w:pPr>
        <w:rPr>
          <w:b w:val="0"/>
          <w:sz w:val="20"/>
        </w:rPr>
      </w:pPr>
      <w:r>
        <w:rPr>
          <w:b w:val="0"/>
          <w:sz w:val="20"/>
        </w:rPr>
        <w:t xml:space="preserve"/>
      </w:r>
    </w:p>
    <w:p>
      <w:pPr>
        <w:rPr>
          <w:b w:val="0"/>
          <w:sz w:val="20"/>
        </w:rPr>
      </w:pPr>
      <w:r>
        <w:rPr>
          <w:b w:val="0"/>
          <w:sz w:val="20"/>
        </w:rPr>
        <w:t xml:space="preserve">Chaque hit est filtré par les droits du chercheur au moment de la recherche : rôle autorisé</w:t>
      </w:r>
    </w:p>
    <w:p>
      <w:pPr>
        <w:rPr>
          <w:b w:val="0"/>
          <w:sz w:val="20"/>
        </w:rPr>
      </w:pPr>
      <w:r>
        <w:rPr>
          <w:b w:val="0"/>
          <w:sz w:val="20"/>
        </w:rPr>
        <w:t xml:space="preserve">sur le TYPE du document (R112), et documents `A_CLASSER` cherchables par les seuls rôles</w:t>
      </w:r>
    </w:p>
    <w:p>
      <w:pPr>
        <w:rPr>
          <w:b w:val="0"/>
          <w:sz w:val="20"/>
        </w:rPr>
      </w:pPr>
      <w:r>
        <w:rPr>
          <w:b w:val="0"/>
          <w:sz w:val="20"/>
        </w:rPr>
        <w:t xml:space="preserve">d'arrivée (R139). Un document hors droits n'apparaît pas — ni contenu, ni titre, ni</w:t>
      </w:r>
    </w:p>
    <w:p>
      <w:pPr>
        <w:rPr>
          <w:b w:val="0"/>
          <w:sz w:val="20"/>
        </w:rPr>
      </w:pPr>
      <w:r>
        <w:rPr>
          <w:b w:val="0"/>
          <w:sz w:val="20"/>
        </w:rPr>
        <w:t xml:space="preserve">compteur : l'existence est une information. Le refus n'est pas une erreur : c'est un</w:t>
      </w:r>
    </w:p>
    <w:p>
      <w:pPr>
        <w:rPr>
          <w:b w:val="0"/>
          <w:sz w:val="20"/>
        </w:rPr>
      </w:pPr>
      <w:r>
        <w:rPr>
          <w:b w:val="0"/>
          <w:sz w:val="20"/>
        </w:rPr>
        <w:t xml:space="preserve">résultat plus court.</w:t>
      </w:r>
    </w:p>
    <w:p>
      <w:pPr>
        <w:rPr>
          <w:b w:val="0"/>
          <w:sz w:val="20"/>
        </w:rPr>
      </w:pPr>
      <w:r>
        <w:rPr>
          <w:b w:val="0"/>
          <w:sz w:val="20"/>
        </w:rPr>
        <w:t xml:space="preserve"/>
      </w:r>
    </w:p>
    <w:p>
      <w:pPr>
        <w:rPr>
          <w:b w:val="0"/>
          <w:sz w:val="20"/>
        </w:rPr>
      </w:pPr>
      <w:r>
        <w:rPr>
          <w:b w:val="0"/>
          <w:sz w:val="20"/>
        </w:rPr>
        <w:t xml:space="preserve">&gt; Scénario RS-03 — Deux chercheurs, deux mondes</w:t>
      </w:r>
    </w:p>
    <w:p>
      <w:pPr>
        <w:rPr>
          <w:b w:val="0"/>
          <w:sz w:val="20"/>
        </w:rPr>
      </w:pPr>
      <w:r>
        <w:rPr>
          <w:b w:val="0"/>
          <w:sz w:val="20"/>
        </w:rPr>
        <w:t xml:space="preserve">&gt; Étant donné un doc PASSEPORT (RM/CO/CF) et un doc FISCAL (CF seul), tous deux contenant « Dupont »</w:t>
      </w:r>
    </w:p>
    <w:p>
      <w:pPr>
        <w:rPr>
          <w:b w:val="0"/>
          <w:sz w:val="20"/>
        </w:rPr>
      </w:pPr>
      <w:r>
        <w:rPr>
          <w:b w:val="0"/>
          <w:sz w:val="20"/>
        </w:rPr>
        <w:t xml:space="preserve">&gt; Quand le CF cherche « dupont » Alors 2 résultats</w:t>
      </w:r>
    </w:p>
    <w:p>
      <w:pPr>
        <w:rPr>
          <w:b w:val="0"/>
          <w:sz w:val="20"/>
        </w:rPr>
      </w:pPr>
      <w:r>
        <w:rPr>
          <w:b w:val="0"/>
          <w:sz w:val="20"/>
        </w:rPr>
        <w:t xml:space="preserve">&gt; Quand le RM cherche « dupont » Alors 1 résultat — le FISCAL n'existe pas pour lui</w:t>
      </w:r>
    </w:p>
    <w:p>
      <w:pPr>
        <w:rPr>
          <w:b w:val="0"/>
          <w:sz w:val="20"/>
        </w:rPr>
      </w:pPr>
      <w:r>
        <w:rPr>
          <w:b w:val="0"/>
          <w:sz w:val="20"/>
        </w:rPr>
        <w:t xml:space="preserve">&gt; Et un document A_CLASSER contenant « dupont » n'apparaît que pour les rôles d'arrivée</w:t>
      </w:r>
    </w:p>
    <w:p>
      <w:pPr>
        <w:rPr>
          <w:b w:val="0"/>
          <w:sz w:val="20"/>
        </w:rPr>
      </w:pPr>
      <w:r>
        <w:rPr>
          <w:b w:val="0"/>
          <w:sz w:val="20"/>
        </w:rPr>
        <w:t xml:space="preserve"/>
      </w:r>
    </w:p>
    <w:p>
      <w:pPr>
        <w:rPr>
          <w:b w:val="1"/>
          <w:sz w:val="26"/>
        </w:rPr>
      </w:pPr>
      <w:r>
        <w:rPr>
          <w:b w:val="1"/>
          <w:sz w:val="26"/>
        </w:rPr>
        <w:t xml:space="preserve">R150 — La recherche est tenant-scopée structurellement — et tracée</w:t>
      </w:r>
    </w:p>
    <w:p>
      <w:pPr>
        <w:rPr>
          <w:b w:val="0"/>
          <w:sz w:val="20"/>
        </w:rPr>
      </w:pPr>
      <w:r>
        <w:rPr>
          <w:b w:val="0"/>
          <w:sz w:val="20"/>
        </w:rPr>
        <w:t xml:space="preserve"/>
      </w:r>
    </w:p>
    <w:p>
      <w:pPr>
        <w:rPr>
          <w:b w:val="0"/>
          <w:sz w:val="20"/>
        </w:rPr>
      </w:pPr>
      <w:r>
        <w:rPr>
          <w:b w:val="0"/>
          <w:sz w:val="20"/>
        </w:rPr>
        <w:t xml:space="preserve">L'entrée d'index porte le tenant ; la requête d'un tenant ne rencontre structurellement que</w:t>
      </w:r>
    </w:p>
    <w:p>
      <w:pPr>
        <w:rPr>
          <w:b w:val="0"/>
          <w:sz w:val="20"/>
        </w:rPr>
      </w:pPr>
      <w:r>
        <w:rPr>
          <w:b w:val="0"/>
          <w:sz w:val="20"/>
        </w:rPr>
        <w:t xml:space="preserve">son index (pattern R146). Chaque recherche est tracée : auteur (jeton), requête, nombre de</w:t>
      </w:r>
    </w:p>
    <w:p>
      <w:pPr>
        <w:rPr>
          <w:b w:val="0"/>
          <w:sz w:val="20"/>
        </w:rPr>
      </w:pPr>
      <w:r>
        <w:rPr>
          <w:b w:val="0"/>
          <w:sz w:val="20"/>
        </w:rPr>
        <w:t xml:space="preserve">résultats servis — jamais les contenus. Qui cherche quoi fait partie du dossier de la banque.</w:t>
      </w:r>
    </w:p>
    <w:p>
      <w:pPr>
        <w:rPr>
          <w:b w:val="0"/>
          <w:sz w:val="20"/>
        </w:rPr>
      </w:pPr>
      <w:r>
        <w:rPr>
          <w:b w:val="0"/>
          <w:sz w:val="20"/>
        </w:rPr>
        <w:t xml:space="preserve"/>
      </w:r>
    </w:p>
    <w:p>
      <w:pPr>
        <w:rPr>
          <w:b w:val="0"/>
          <w:sz w:val="20"/>
        </w:rPr>
      </w:pPr>
      <w:r>
        <w:rPr>
          <w:b w:val="0"/>
          <w:sz w:val="20"/>
        </w:rPr>
        <w:t xml:space="preserve">&gt; Scénario RS-04 — La trace dit qui cherche, pas ce qui fut lu</w:t>
      </w:r>
    </w:p>
    <w:p>
      <w:pPr>
        <w:rPr>
          <w:b w:val="0"/>
          <w:sz w:val="20"/>
        </w:rPr>
      </w:pPr>
      <w:r>
        <w:rPr>
          <w:b w:val="0"/>
          <w:sz w:val="20"/>
        </w:rPr>
        <w:t xml:space="preserve">&gt; Quand le CO cherche « dupont » Alors événement (auteur, requête, nb servis), SANS contenus</w:t>
      </w:r>
    </w:p>
    <w:p>
      <w:pPr>
        <w:rPr>
          <w:b w:val="0"/>
          <w:sz w:val="20"/>
        </w:rPr>
      </w:pPr>
      <w:r>
        <w:rPr>
          <w:b w:val="0"/>
          <w:sz w:val="20"/>
        </w:rPr>
        <w:t xml:space="preserve">&gt; Quand t2 cherche « dupont » Alors 0 résultat — structurel, pas filtré</w:t>
      </w:r>
    </w:p>
    <w:p>
      <w:pPr>
        <w:rPr>
          <w:b w:val="0"/>
          <w:sz w:val="20"/>
        </w:rPr>
      </w:pPr>
      <w:r>
        <w:rPr>
          <w:b w:val="0"/>
          <w:sz w:val="20"/>
        </w:rPr>
        <w:t xml:space="preserve"/>
      </w:r>
    </w:p>
    <w:p>
      <w:pPr>
        <w:rPr>
          <w:b w:val="1"/>
          <w:sz w:val="26"/>
        </w:rPr>
      </w:pPr>
      <w:r>
        <w:rPr>
          <w:b w:val="1"/>
          <w:sz w:val="26"/>
        </w:rPr>
        <w:t xml:space="preserve">R151 — L'index suit la vie du document — jusqu'à l'oubli certifié</w:t>
      </w:r>
    </w:p>
    <w:p>
      <w:pPr>
        <w:rPr>
          <w:b w:val="0"/>
          <w:sz w:val="20"/>
        </w:rPr>
      </w:pPr>
      <w:r>
        <w:rPr>
          <w:b w:val="0"/>
          <w:sz w:val="20"/>
        </w:rPr>
        <w:t xml:space="preserve"/>
      </w:r>
    </w:p>
    <w:p>
      <w:pPr>
        <w:rPr>
          <w:b w:val="0"/>
          <w:sz w:val="20"/>
        </w:rPr>
      </w:pPr>
      <w:r>
        <w:rPr>
          <w:b w:val="0"/>
          <w:sz w:val="20"/>
        </w:rPr>
        <w:t xml:space="preserve">Le classement (R139) déclenche l'indexation ; une nouvelle version OCRisée remplace l'entrée</w:t>
      </w:r>
    </w:p>
    <w:p>
      <w:pPr>
        <w:rPr>
          <w:b w:val="0"/>
          <w:sz w:val="20"/>
        </w:rPr>
      </w:pPr>
      <w:r>
        <w:rPr>
          <w:b w:val="0"/>
          <w:sz w:val="20"/>
        </w:rPr>
        <w:t xml:space="preserve">servie (on cherche l'état courant — l'historique se lit sur le document, pas dans l'index). La</w:t>
      </w:r>
    </w:p>
    <w:p>
      <w:pPr>
        <w:rPr>
          <w:b w:val="0"/>
          <w:sz w:val="20"/>
        </w:rPr>
      </w:pPr>
      <w:r>
        <w:rPr>
          <w:b w:val="0"/>
          <w:sz w:val="20"/>
        </w:rPr>
        <w:t xml:space="preserve">destruction certifiée (R115) retire de l'index : un contenu détruit ne se cherche plus —</w:t>
      </w:r>
    </w:p>
    <w:p>
      <w:pPr>
        <w:rPr>
          <w:b w:val="0"/>
          <w:sz w:val="20"/>
        </w:rPr>
      </w:pPr>
      <w:r>
        <w:rPr>
          <w:b w:val="0"/>
          <w:sz w:val="20"/>
        </w:rPr>
        <w:t xml:space="preserve">le retrait est tracé, l'empreinte survit en base (R146).</w:t>
      </w:r>
    </w:p>
    <w:p>
      <w:pPr>
        <w:rPr>
          <w:b w:val="0"/>
          <w:sz w:val="20"/>
        </w:rPr>
      </w:pPr>
      <w:r>
        <w:rPr>
          <w:b w:val="0"/>
          <w:sz w:val="20"/>
        </w:rPr>
        <w:t xml:space="preserve"/>
      </w:r>
    </w:p>
    <w:p>
      <w:pPr>
        <w:rPr>
          <w:b w:val="0"/>
          <w:sz w:val="20"/>
        </w:rPr>
      </w:pPr>
      <w:r>
        <w:rPr>
          <w:b w:val="0"/>
          <w:sz w:val="20"/>
        </w:rPr>
        <w:t xml:space="preserve">&gt; Scénario RS-05 — L'index sert l'état courant</w:t>
      </w:r>
    </w:p>
    <w:p>
      <w:pPr>
        <w:rPr>
          <w:b w:val="0"/>
          <w:sz w:val="20"/>
        </w:rPr>
      </w:pPr>
      <w:r>
        <w:rPr>
          <w:b w:val="0"/>
          <w:sz w:val="20"/>
        </w:rPr>
        <w:t xml:space="preserve">&gt; Quand la v2 OCRisée est indexée Alors la recherche sert la v2 — une seule entrée par document</w:t>
      </w:r>
    </w:p>
    <w:p>
      <w:pPr>
        <w:rPr>
          <w:b w:val="0"/>
          <w:sz w:val="20"/>
        </w:rPr>
      </w:pPr>
      <w:r>
        <w:rPr>
          <w:b w:val="0"/>
          <w:sz w:val="20"/>
        </w:rPr>
        <w:t xml:space="preserve"/>
      </w:r>
    </w:p>
    <w:p>
      <w:pPr>
        <w:rPr>
          <w:b w:val="0"/>
          <w:sz w:val="20"/>
        </w:rPr>
      </w:pPr>
      <w:r>
        <w:rPr>
          <w:b w:val="0"/>
          <w:sz w:val="20"/>
        </w:rPr>
        <w:t xml:space="preserve">&gt; Scénario RS-06 — Détruit = introuvable, et le retrait est un événement</w:t>
      </w:r>
    </w:p>
    <w:p>
      <w:pPr>
        <w:rPr>
          <w:b w:val="0"/>
          <w:sz w:val="20"/>
        </w:rPr>
      </w:pPr>
      <w:r>
        <w:rPr>
          <w:b w:val="0"/>
          <w:sz w:val="20"/>
        </w:rPr>
        <w:t xml:space="preserve">&gt; Quand la destruction certifiée passe Alors l'entrée est retirée, retrait tracé,</w:t>
      </w:r>
    </w:p>
    <w:p>
      <w:pPr>
        <w:rPr>
          <w:b w:val="0"/>
          <w:sz w:val="20"/>
        </w:rPr>
      </w:pPr>
      <w:r>
        <w:rPr>
          <w:b w:val="0"/>
          <w:sz w:val="20"/>
        </w:rPr>
        <w:t xml:space="preserve">&gt; la recherche ne trouve plus rien — l'empreinte, elle, survit en base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`SearchEntry` (tenantId, documentId UNIQUE par tenant, versionId, texte, shaDeriveSource, typeCode, statut, indexeAt) — RLS |</w:t>
      </w:r>
    </w:p>
    <w:p>
      <w:pPr>
        <w:rPr>
          <w:b w:val="0"/>
          <w:sz w:val="20"/>
        </w:rPr>
      </w:pPr>
      <w:r>
        <w:rPr>
          <w:b w:val="0"/>
          <w:sz w:val="20"/>
        </w:rPr>
        <w:t xml:space="preserve">| Service | `RechercheService(prisma, audit)` : `indexer` (R148/R151 — depuis dérivés OCR + méta, remplace l'entrée du document), `chercher` (R149/R150 — filtre par droits AU résultat, trace), `retirer` (R151 — destruction), `reindexerTout` (R148 — rejouabilité), `reconcilierIndex` (R148/R39) |</w:t>
      </w:r>
    </w:p>
    <w:p>
      <w:pPr>
        <w:rPr>
          <w:b w:val="0"/>
          <w:sz w:val="20"/>
        </w:rPr>
      </w:pPr>
      <w:r>
        <w:rPr>
          <w:b w:val="0"/>
          <w:sz w:val="20"/>
        </w:rPr>
        <w:t xml:space="preserve">| Paramètres R-Q | aucun nouveau — hérite de `gedDocTypes` (R112) et `gedInboxRoles` (R139) |</w:t>
      </w:r>
    </w:p>
    <w:p>
      <w:pPr>
        <w:rPr>
          <w:b w:val="0"/>
          <w:sz w:val="20"/>
        </w:rPr>
      </w:pPr>
      <w:r>
        <w:rPr>
          <w:b w:val="0"/>
          <w:sz w:val="20"/>
        </w:rPr>
        <w:t xml:space="preserve">| Événements | `recherche.executee` · `recherche.index.entree` · `recherche.index.retrait` · `recherche.index.desync` |</w:t>
      </w:r>
    </w:p>
    <w:p>
      <w:pPr>
        <w:rPr>
          <w:b w:val="0"/>
          <w:sz w:val="20"/>
        </w:rPr>
      </w:pPr>
      <w:r>
        <w:rPr>
          <w:b w:val="0"/>
          <w:sz w:val="20"/>
        </w:rPr>
        <w:t xml:space="preserve">| Câblage (documenté, lots suivants) | `classer` (R139) → `indexer` ; `ocriser` (R138) → `indexer` ; destruction (R115) → `retirer` |</w:t>
      </w:r>
    </w:p>
    <w:p>
      <w:pPr>
        <w:rPr>
          <w:b w:val="0"/>
          <w:sz w:val="20"/>
        </w:rPr>
      </w:pPr>
      <w:r>
        <w:rPr>
          <w:b w:val="0"/>
          <w:sz w:val="20"/>
        </w:rPr>
        <w:t xml:space="preserve"/>
      </w:r>
    </w:p>
    <w:p>
      <w:pPr>
        <w:rPr>
          <w:b w:val="0"/>
          <w:sz w:val="20"/>
        </w:rPr>
      </w:pPr>
      <w:r>
        <w:rPr>
          <w:b w:val="0"/>
          <w:sz w:val="20"/>
        </w:rPr>
        <w:t xml:space="preserve">Tests : RS-01..06 (`recherche.wiring.spec.ts`),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v4.10 → v4.11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R148 → R151</w:t>
      </w:r>
    </w:p>
    <w:p>
      <w:pPr>
        <w:rPr>
          <w:b w:val="0"/>
          <w:sz w:val="20"/>
        </w:rPr>
      </w:pPr>
      <w:r>
        <w:rPr>
          <w:b w:val="0"/>
          <w:sz w:val="20"/>
        </w:rPr>
        <w:t xml:space="preserve">(Bloc 27 · La recherche — trouver sans trahir). Page de garde Word : v4.11.</w:t>
      </w:r>
    </w:p>
    <w:p>
      <w:pPr>
        <w:rPr>
          <w:b w:val="0"/>
          <w:sz w:val="20"/>
        </w:rPr>
      </w:pPr>
      <w:r>
        <w:rPr>
          <w:b w:val="0"/>
          <w:sz w:val="20"/>
        </w:rPr>
        <w:t xml:space="preserve">Le bloc 28 (R152→R155, Les personnes liées) reste PROPOSÉ — en attente.</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27 · La recherche — trouver sans trahir | R148 R149 R150 R151 | RS-01..06 | 6/6 |</w:t>
      </w:r>
    </w:p>
    <w:p>
      <w:pPr>
        <w:rPr>
          <w:b w:val="0"/>
          <w:sz w:val="20"/>
        </w:rPr>
      </w:pPr>
      <w:r>
        <w:rPr>
          <w:b w:val="0"/>
          <w:sz w:val="20"/>
        </w:rPr>
        <w:t xml:space="preserve"/>
      </w:r>
    </w:p>
    <w:p>
      <w:pPr>
        <w:rPr>
          <w:b w:val="0"/>
          <w:sz w:val="20"/>
        </w:rPr>
      </w:pPr>
      <w:r>
        <w:rPr>
          <w:b w:val="0"/>
          <w:sz w:val="20"/>
        </w:rPr>
        <w:t xml:space="preserve">- Scénarios catalogue : 223 (v4.10) + RS 6 = 229 IDs.</w:t>
      </w:r>
    </w:p>
    <w:p>
      <w:pPr>
        <w:rPr>
          <w:b w:val="0"/>
          <w:sz w:val="20"/>
        </w:rPr>
      </w:pPr>
      <w:r>
        <w:rPr>
          <w:b w:val="0"/>
          <w:sz w:val="20"/>
        </w:rPr>
        <w:t xml:space="preserve">- Corpus backend ratifié : 244 + 6 = 250 (l'arbre réel porte 256, dont 6 PL proposés).</w:t>
      </w:r>
    </w:p>
    <w:p>
      <w:pPr>
        <w:rPr>
          <w:b w:val="0"/>
          <w:sz w:val="20"/>
        </w:rPr>
      </w:pPr>
      <w:r>
        <w:rPr>
          <w:b w:val="0"/>
          <w:sz w:val="20"/>
        </w:rPr>
        <w:t xml:space="preserve">- L'écart Therefore n° 2 est comblé avec l'invariant propre à la banque privée :</w:t>
      </w:r>
    </w:p>
    <w:p>
      <w:pPr>
        <w:rPr>
          <w:b w:val="0"/>
          <w:sz w:val="20"/>
        </w:rPr>
      </w:pPr>
      <w:r>
        <w:rPr>
          <w:b w:val="0"/>
          <w:sz w:val="20"/>
        </w:rPr>
        <w:t xml:space="preserve">  l'existence est une information. L'index est un dérivé rejouable (R148 — il peut brûler</w:t>
      </w:r>
    </w:p>
    <w:p>
      <w:pPr>
        <w:rPr>
          <w:b w:val="0"/>
          <w:sz w:val="20"/>
        </w:rPr>
      </w:pPr>
      <w:r>
        <w:rPr>
          <w:b w:val="0"/>
          <w:sz w:val="20"/>
        </w:rPr>
        <w:t xml:space="preserve">  sans perte), l'habilitation s'applique AU RÉSULTAT (R149 — hors droits : ni contenu, ni</w:t>
      </w:r>
    </w:p>
    <w:p>
      <w:pPr>
        <w:rPr>
          <w:b w:val="0"/>
          <w:sz w:val="20"/>
        </w:rPr>
      </w:pPr>
      <w:r>
        <w:rPr>
          <w:b w:val="0"/>
          <w:sz w:val="20"/>
        </w:rPr>
        <w:t xml:space="preserve">  titre, ni compteur), chaque recherche est un acte tracé tenant-scopé (R150), l'index suit</w:t>
      </w:r>
    </w:p>
    <w:p>
      <w:pPr>
        <w:rPr>
          <w:b w:val="0"/>
          <w:sz w:val="20"/>
        </w:rPr>
      </w:pPr>
      <w:r>
        <w:rPr>
          <w:b w:val="0"/>
          <w:sz w:val="20"/>
        </w:rPr>
        <w:t xml:space="preserve">  la vie jusqu'à l'oubli certifié (R151 — le détruit R115 ne se cherche plus).</w:t>
      </w:r>
    </w:p>
    <w:p>
      <w:pPr>
        <w:rPr>
          <w:b w:val="0"/>
          <w:sz w:val="20"/>
        </w:rPr>
      </w:pPr>
      <w:r>
        <w:rPr>
          <w:b w:val="0"/>
          <w:sz w:val="20"/>
        </w:rPr>
        <w:t xml:space="preserve">- Aucun paramètre tenant nouveau — la recherche ne se paramètre pas, elle s'habilite</w:t>
      </w:r>
    </w:p>
    <w:p>
      <w:pPr>
        <w:rPr>
          <w:b w:val="0"/>
          <w:sz w:val="20"/>
        </w:rPr>
      </w:pPr>
      <w:r>
        <w:rPr>
          <w:b w:val="0"/>
          <w:sz w:val="20"/>
        </w:rPr>
        <w:t xml:space="preserve">  (héritage intégral de gedDocTypes R112 et gedInboxRoles R139).</w:t>
      </w:r>
    </w:p>
    <w:p>
      <w:pPr>
        <w:rPr>
          <w:b w:val="0"/>
          <w:sz w:val="20"/>
        </w:rPr>
      </w:pPr>
      <w:r>
        <w:rPr>
          <w:b w:val="0"/>
          <w:sz w:val="20"/>
        </w:rPr>
        <w:t xml:space="preserve">- Positionnement : *« ils indexent tout et cherchent partout ; nous indexons des dérivés et</w:t>
      </w:r>
    </w:p>
    <w:p>
      <w:pPr>
        <w:rPr>
          <w:b w:val="0"/>
          <w:sz w:val="20"/>
        </w:rPr>
      </w:pPr>
      <w:r>
        <w:rPr>
          <w:b w:val="0"/>
          <w:sz w:val="20"/>
        </w:rPr>
        <w:t xml:space="preserve">  cherchons sous habilitation. »*</w:t>
      </w:r>
    </w:p>
    <w:p>
      <w:pPr>
        <w:rPr>
          <w:b w:val="0"/>
          <w:sz w:val="20"/>
        </w:rPr>
      </w:pPr>
      <w:r>
        <w:rPr>
          <w:b w:val="0"/>
          <w:sz w:val="20"/>
        </w:rPr>
        <w:t xml:space="preserve">- Catalogue : R1 → R151 ratifiées · R152 → R155 proposées.</w:t>
      </w:r>
    </w:p>
    <w:p>
      <w:pPr>
        <w:rPr>
          <w:b w:val="0"/>
          <w:sz w:val="20"/>
        </w:rPr>
      </w:pPr>
      <w:r>
        <w:rPr>
          <w:b w:val="0"/>
          <w:sz w:val="20"/>
        </w:rP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